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134"/>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580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cs="Times New Roman" w:eastAsiaTheme="minorEastAsia"/>
                <w:b/>
                <w:bCs/>
                <w:lang w:val="en-US" w:eastAsia="zh-CN"/>
              </w:rPr>
            </w:pPr>
            <w:r>
              <w:rPr>
                <w:rFonts w:hint="eastAsia"/>
                <w:b/>
                <w:sz w:val="36"/>
                <w:u w:val="single"/>
              </w:rPr>
              <w:t>检验科全自动电化学发光免疫分析仪</w:t>
            </w:r>
            <w:r>
              <w:rPr>
                <w:rFonts w:hint="eastAsia" w:cs="宋体"/>
                <w:b/>
                <w:bCs/>
                <w:sz w:val="36"/>
                <w:szCs w:val="36"/>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使用科室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1" w:hRule="atLeast"/>
        </w:trPr>
        <w:tc>
          <w:tcPr>
            <w:tcW w:w="1668"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检验科</w:t>
            </w:r>
          </w:p>
        </w:tc>
        <w:tc>
          <w:tcPr>
            <w:tcW w:w="1134"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全自动电化学发光免疫分析仪</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2293" w:type="dxa"/>
            <w:tcBorders>
              <w:top w:val="single" w:color="auto" w:sz="4" w:space="0"/>
            </w:tcBorders>
            <w:vAlign w:val="center"/>
          </w:tcPr>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技术需求</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仪器具有可扩展性，仪器采用模块组合式设计，提供≥2个检测模块，单模块测试速度≥240测试/小时；</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试剂通道≥30个，自带5-10℃冷藏功能；</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检测项目齐全，包括肿瘤标志物，甲状腺功能、甲状腺自身抗体、内分泌激素、骨代谢标志物、炎症因子PCT、IL-6 等项目；</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具备样品凝块检出功能及样品探针堵孔报警和防碰撞功能，具备试管液面探测技术；</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同时在机样本管数量≥200个，并可连续装载，可使用原始管直接上机检测；</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可在任何时间即时插入STAT急诊样品，即时测试，可以支持不停机的状态连续装载试剂盒及辅助耗材，减少操作时间；</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采用一次性Tip加样，减少交叉污染；</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 可进行样本自动稀释和浓缩检测，如遇特高浓度的样本，可以自动进行稀释后复检；</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仪器可连接同品牌不同速度的免疫模块和生化模块，实现模块拓展可能；</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除操作系统外，提供原厂的数据管理系统；提供样本结果审核，高级质控，数据备份等功能；</w:t>
            </w:r>
          </w:p>
          <w:p>
            <w:pPr>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负责与医院现有LIS系统对接，费用由卖方承担。</w:t>
            </w:r>
          </w:p>
          <w:p>
            <w:pPr>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配套使用试剂参数</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试剂要求已经通过CFDA批准，三证齐全，能够用于临床检验诊断。</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试剂有效期不得少于6个月，试剂储存温度一般为2-8℃。</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试剂应在卫健委临床检验中心或上海市临床检验中心质量评价目录中，或至少有≥5家同级别医院使用该试剂。</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所提供的试剂批号更换一年内不得多于3次。</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随检测试剂免费提供相应校准品，如有配套质控品，也应免费提供。</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试剂及时配送，且应保证全程冷链运输。</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当试剂出现不良事件时，响应时间应小于2小时。</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当出现生产或运输所导致的试剂质量问题时，应免费退换货。</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试剂清单中所列项目都能提供相应检测试剂（具体详见试剂清单）</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单套配置清单：</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2个检测分析模块（每个模块含分析单元、核心单元、样本缓冲区等部件），单模块测试速度≥240测试/小时</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数据管理站服务器及显示器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随机配套检测用洗液，缓冲液等</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传送带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稳压电源、电源线及USB延长线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外接USB CD/DVD光驱、激光打印机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电脑操作台、电脑及Win7安装恢复软件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UPS电源盒及电源拖线板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配备各种架，如常规架、定标架、质控架、急诊架等 1套</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售后服务</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整机保修（含配制清单中的所有设备及材料）≥6年</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原厂负责售后服务，并且当地有常驻工程师和技术人员随时提供技术支持服务。若超过24小时无法排除故障，应提供备用机。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 其他</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1折旧年限：6年</w:t>
            </w:r>
          </w:p>
          <w:p>
            <w:pPr>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 详细试剂参数和用量详见试剂技术需求表和检验设备试剂调研表</w:t>
            </w:r>
          </w:p>
        </w:tc>
      </w:tr>
    </w:tbl>
    <w:tbl>
      <w:tblPr>
        <w:tblStyle w:val="3"/>
        <w:tblpPr w:leftFromText="180" w:rightFromText="180" w:vertAnchor="text" w:horzAnchor="page" w:tblpX="719" w:tblpY="4934"/>
        <w:tblOverlap w:val="never"/>
        <w:tblW w:w="55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276"/>
        <w:gridCol w:w="3841"/>
        <w:gridCol w:w="9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Style w:val="5"/>
                <w:sz w:val="36"/>
                <w:szCs w:val="36"/>
                <w:lang w:val="en-US" w:eastAsia="zh-CN" w:bidi="ar"/>
              </w:rPr>
              <w:t>全自动电化学发光免疫分析仪</w:t>
            </w:r>
            <w:r>
              <w:rPr>
                <w:rStyle w:val="6"/>
                <w:sz w:val="36"/>
                <w:szCs w:val="36"/>
                <w:lang w:val="en-US" w:eastAsia="zh-CN" w:bidi="ar"/>
              </w:rPr>
              <w:t>试剂技术需求表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2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22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预估配套耗材/试剂名称</w:t>
            </w:r>
          </w:p>
        </w:tc>
        <w:tc>
          <w:tcPr>
            <w:tcW w:w="314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7"/>
                <w:lang w:val="en-US" w:eastAsia="zh-CN" w:bidi="ar"/>
              </w:rPr>
              <w:t>技术需求</w:t>
            </w:r>
            <w:r>
              <w:rPr>
                <w:rStyle w:val="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全自动电化学发光免疫分析仪</w:t>
            </w: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癌胚抗原定量试剂盒</w:t>
            </w:r>
          </w:p>
        </w:tc>
        <w:tc>
          <w:tcPr>
            <w:tcW w:w="3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1、试剂要求已经通过CFDA批准，三证齐全，能够用于临床检验诊断。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2、试剂有效期不得少于6个月，试剂储存温度一般为2-8℃。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*3、试剂应在卫健委临床检验中心或上海市临床检验中心质量评价目录中，或至少有≥5家同级别医院使用该试剂。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4、所提供的试剂批号更换一年内不得多于3次。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*5、随检测试剂免费提供相应校准品，如有配套质控品，也应免费提供。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6、试剂及时配送，且应保证全程冷链运输。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7、当试剂出现不良事件时，响应时间应小于2小时。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8、当出现生产或运输所导致的试剂质量问题时，应免费退换货。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甲胎蛋白定量检测试剂盒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前列腺特异性抗原试剂盒</w:t>
            </w:r>
            <w:r>
              <w:rPr>
                <w:rStyle w:val="10"/>
                <w:rFonts w:eastAsia="宋体"/>
                <w:lang w:val="en-US" w:eastAsia="zh-CN" w:bidi="ar"/>
              </w:rPr>
              <w:t xml:space="preserve">                   </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游离前列腺特异性抗原试剂盒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肿瘤相关抗原</w:t>
            </w:r>
            <w:r>
              <w:rPr>
                <w:rStyle w:val="10"/>
                <w:rFonts w:eastAsia="宋体"/>
                <w:lang w:val="en-US" w:eastAsia="zh-CN" w:bidi="ar"/>
              </w:rPr>
              <w:t>125</w:t>
            </w:r>
            <w:r>
              <w:rPr>
                <w:rStyle w:val="11"/>
                <w:lang w:val="en-US" w:eastAsia="zh-CN" w:bidi="ar"/>
              </w:rPr>
              <w:t>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肿瘤相关抗原</w:t>
            </w:r>
            <w:r>
              <w:rPr>
                <w:rStyle w:val="10"/>
                <w:rFonts w:eastAsia="宋体"/>
                <w:lang w:val="en-US" w:eastAsia="zh-CN" w:bidi="ar"/>
              </w:rPr>
              <w:t>15</w:t>
            </w:r>
            <w:r>
              <w:rPr>
                <w:rStyle w:val="11"/>
                <w:lang w:val="en-US" w:eastAsia="zh-CN" w:bidi="ar"/>
              </w:rPr>
              <w:t>－</w:t>
            </w:r>
            <w:r>
              <w:rPr>
                <w:rStyle w:val="10"/>
                <w:rFonts w:eastAsia="宋体"/>
                <w:lang w:val="en-US" w:eastAsia="zh-CN" w:bidi="ar"/>
              </w:rPr>
              <w:t>3</w:t>
            </w:r>
            <w:r>
              <w:rPr>
                <w:rStyle w:val="11"/>
                <w:lang w:val="en-US" w:eastAsia="zh-CN" w:bidi="ar"/>
              </w:rPr>
              <w:t>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lang w:val="en-US" w:eastAsia="zh-CN" w:bidi="ar"/>
              </w:rPr>
              <w:t>肿瘤相关抗原</w:t>
            </w:r>
            <w:r>
              <w:rPr>
                <w:rStyle w:val="10"/>
                <w:rFonts w:eastAsia="宋体"/>
                <w:lang w:val="en-US" w:eastAsia="zh-CN" w:bidi="ar"/>
              </w:rPr>
              <w:t>19</w:t>
            </w:r>
            <w:r>
              <w:rPr>
                <w:rStyle w:val="11"/>
                <w:lang w:val="en-US" w:eastAsia="zh-CN" w:bidi="ar"/>
              </w:rPr>
              <w:t>－</w:t>
            </w:r>
            <w:r>
              <w:rPr>
                <w:rStyle w:val="10"/>
                <w:rFonts w:eastAsia="宋体"/>
                <w:lang w:val="en-US" w:eastAsia="zh-CN" w:bidi="ar"/>
              </w:rPr>
              <w:t>9</w:t>
            </w:r>
            <w:r>
              <w:rPr>
                <w:rStyle w:val="11"/>
                <w:lang w:val="en-US" w:eastAsia="zh-CN" w:bidi="ar"/>
              </w:rPr>
              <w:t>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lang w:val="en-US" w:eastAsia="zh-CN" w:bidi="ar"/>
              </w:rPr>
              <w:t>肿瘤相关抗原</w:t>
            </w:r>
            <w:r>
              <w:rPr>
                <w:rStyle w:val="10"/>
                <w:rFonts w:eastAsia="宋体"/>
                <w:lang w:val="en-US" w:eastAsia="zh-CN" w:bidi="ar"/>
              </w:rPr>
              <w:t>72</w:t>
            </w:r>
            <w:r>
              <w:rPr>
                <w:rStyle w:val="11"/>
                <w:lang w:val="en-US" w:eastAsia="zh-CN" w:bidi="ar"/>
              </w:rPr>
              <w:t>－</w:t>
            </w:r>
            <w:r>
              <w:rPr>
                <w:rStyle w:val="10"/>
                <w:rFonts w:eastAsia="宋体"/>
                <w:lang w:val="en-US" w:eastAsia="zh-CN" w:bidi="ar"/>
              </w:rPr>
              <w:t>4</w:t>
            </w:r>
            <w:r>
              <w:rPr>
                <w:rStyle w:val="11"/>
                <w:lang w:val="en-US" w:eastAsia="zh-CN" w:bidi="ar"/>
              </w:rPr>
              <w:t>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lang w:val="en-US" w:eastAsia="zh-CN" w:bidi="ar"/>
              </w:rPr>
              <w:t>非小细胞肺癌相关抗原</w:t>
            </w:r>
            <w:r>
              <w:rPr>
                <w:rStyle w:val="10"/>
                <w:rFonts w:eastAsia="宋体"/>
                <w:lang w:val="en-US" w:eastAsia="zh-CN" w:bidi="ar"/>
              </w:rPr>
              <w:t xml:space="preserve"> 21</w:t>
            </w:r>
            <w:r>
              <w:rPr>
                <w:rStyle w:val="11"/>
                <w:lang w:val="en-US" w:eastAsia="zh-CN" w:bidi="ar"/>
              </w:rPr>
              <w:t>－</w:t>
            </w:r>
            <w:r>
              <w:rPr>
                <w:rStyle w:val="10"/>
                <w:rFonts w:eastAsia="宋体"/>
                <w:lang w:val="en-US" w:eastAsia="zh-CN" w:bidi="ar"/>
              </w:rPr>
              <w:t>1</w:t>
            </w:r>
            <w:r>
              <w:rPr>
                <w:rStyle w:val="11"/>
                <w:lang w:val="en-US" w:eastAsia="zh-CN" w:bidi="ar"/>
              </w:rPr>
              <w:t>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神经元特异性烯醇化酶试剂盒</w:t>
            </w:r>
            <w:r>
              <w:rPr>
                <w:rStyle w:val="10"/>
                <w:rFonts w:eastAsia="宋体"/>
                <w:lang w:val="en-US" w:eastAsia="zh-CN" w:bidi="ar"/>
              </w:rPr>
              <w:t xml:space="preserve">           </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人附睾蛋白</w:t>
            </w:r>
            <w:r>
              <w:rPr>
                <w:rStyle w:val="10"/>
                <w:rFonts w:eastAsia="宋体"/>
                <w:lang w:val="en-US" w:eastAsia="zh-CN" w:bidi="ar"/>
              </w:rPr>
              <w:t>4</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促甲状腺激素诊断试剂盒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三碘甲状腺原氨酸诊断试剂盒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游离三碘甲状腺原氨酸诊断试剂盒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游离甲状腺素诊断试剂盒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甲状腺球蛋白诊断试剂盒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甲状腺球蛋白抗体诊断试剂盒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抗甲状腺过氧化物酶抗体诊断试剂盒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促甲状腺激素受体抗体诊断试剂盒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降钙素诊断试剂盒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铁蛋白诊断试剂盒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甲状旁腺素诊断试剂盒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rFonts w:eastAsia="宋体"/>
                <w:lang w:val="en-US" w:eastAsia="zh-CN" w:bidi="ar"/>
              </w:rPr>
              <w:t>C</w:t>
            </w:r>
            <w:r>
              <w:rPr>
                <w:rStyle w:val="13"/>
                <w:lang w:val="en-US" w:eastAsia="zh-CN" w:bidi="ar"/>
              </w:rPr>
              <w:t>肽诊断试剂盒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降钙素原（</w:t>
            </w:r>
            <w:r>
              <w:rPr>
                <w:rStyle w:val="10"/>
                <w:rFonts w:eastAsia="宋体"/>
                <w:lang w:val="en-US" w:eastAsia="zh-CN" w:bidi="ar"/>
              </w:rPr>
              <w:t>PCT</w:t>
            </w:r>
            <w:r>
              <w:rPr>
                <w:rStyle w:val="11"/>
                <w:lang w:val="en-US" w:eastAsia="zh-CN" w:bidi="ar"/>
              </w:rPr>
              <w:t>）</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白介素</w:t>
            </w:r>
            <w:r>
              <w:rPr>
                <w:rStyle w:val="10"/>
                <w:rFonts w:eastAsia="宋体"/>
                <w:lang w:val="en-US" w:eastAsia="zh-CN" w:bidi="ar"/>
              </w:rPr>
              <w:t>6</w:t>
            </w:r>
            <w:r>
              <w:rPr>
                <w:rStyle w:val="11"/>
                <w:lang w:val="en-US" w:eastAsia="zh-CN" w:bidi="ar"/>
              </w:rPr>
              <w:t>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抗缪勒管激素诊断试剂盒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1"/>
                <w:lang w:val="en-US" w:eastAsia="zh-CN" w:bidi="ar"/>
              </w:rPr>
              <w:t>绒毛膜促性腺激素</w:t>
            </w:r>
            <w:r>
              <w:rPr>
                <w:rStyle w:val="10"/>
                <w:rFonts w:eastAsia="宋体"/>
                <w:lang w:val="en-US" w:eastAsia="zh-CN" w:bidi="ar"/>
              </w:rPr>
              <w:t>β</w:t>
            </w:r>
            <w:r>
              <w:rPr>
                <w:rStyle w:val="11"/>
                <w:lang w:val="en-US" w:eastAsia="zh-CN" w:bidi="ar"/>
              </w:rPr>
              <w:t>亚单位诊断试剂盒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促肾上腺皮质激素诊断试剂盒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皮质醇诊断试剂盒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乙型肝炎病毒表面抗原诊断试剂盒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乙型肝炎病毒表面抗体定量测定试剂盒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乙型肝炎病毒</w:t>
            </w:r>
            <w:r>
              <w:rPr>
                <w:rStyle w:val="10"/>
                <w:rFonts w:eastAsia="宋体"/>
                <w:lang w:val="en-US" w:eastAsia="zh-CN" w:bidi="ar"/>
              </w:rPr>
              <w:t>e</w:t>
            </w:r>
            <w:r>
              <w:rPr>
                <w:rStyle w:val="11"/>
                <w:lang w:val="en-US" w:eastAsia="zh-CN" w:bidi="ar"/>
              </w:rPr>
              <w:t>抗体诊断试剂盒</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总I型胶原氨基端延长肽 </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N-MID骨钙素</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ascii="宋体" w:hAnsi="宋体" w:eastAsia="宋体" w:cs="宋体"/>
                <w:sz w:val="24"/>
                <w:szCs w:val="24"/>
                <w:lang w:val="en-US" w:eastAsia="zh-CN" w:bidi="ar"/>
              </w:rPr>
              <w:t>β</w:t>
            </w:r>
            <w:r>
              <w:rPr>
                <w:rStyle w:val="15"/>
                <w:rFonts w:eastAsia="宋体"/>
                <w:lang w:val="en-US" w:eastAsia="zh-CN" w:bidi="ar"/>
              </w:rPr>
              <w:t>-</w:t>
            </w:r>
            <w:r>
              <w:rPr>
                <w:rStyle w:val="9"/>
                <w:lang w:val="en-US" w:eastAsia="zh-CN" w:bidi="ar"/>
              </w:rPr>
              <w:t>胶原特殊序列</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仪器用预清洗液（如有）</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通用稀释液</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仪器用三丙胺缓冲液（如有）</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仪器用缓冲液（如有）</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仪器用洗针液（如有）</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仪器用Tip头/反应杯</w:t>
            </w:r>
          </w:p>
        </w:tc>
        <w:tc>
          <w:tcPr>
            <w:tcW w:w="3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rPr>
          <w:rFonts w:cs="Times New Roman"/>
        </w:rPr>
      </w:pPr>
    </w:p>
    <w:tbl>
      <w:tblPr>
        <w:tblStyle w:val="3"/>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134"/>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03" w:type="dxa"/>
            <w:gridSpan w:val="4"/>
            <w:tcBorders>
              <w:top w:val="nil"/>
              <w:left w:val="nil"/>
              <w:bottom w:val="single" w:color="auto" w:sz="4" w:space="0"/>
              <w:right w:val="nil"/>
            </w:tcBorders>
          </w:tcPr>
          <w:p>
            <w:pPr>
              <w:spacing w:line="240" w:lineRule="auto"/>
              <w:jc w:val="center"/>
              <w:rPr>
                <w:rFonts w:hint="eastAsia"/>
                <w:b/>
                <w:sz w:val="36"/>
                <w:u w:val="single"/>
              </w:rPr>
            </w:pPr>
          </w:p>
          <w:p>
            <w:pPr>
              <w:spacing w:line="240" w:lineRule="auto"/>
              <w:jc w:val="center"/>
              <w:rPr>
                <w:rFonts w:hint="eastAsia"/>
                <w:b/>
                <w:sz w:val="36"/>
                <w:u w:val="single"/>
              </w:rPr>
            </w:pPr>
          </w:p>
          <w:p>
            <w:pPr>
              <w:spacing w:line="240" w:lineRule="auto"/>
              <w:jc w:val="center"/>
              <w:rPr>
                <w:rFonts w:hint="eastAsia"/>
                <w:b/>
                <w:sz w:val="36"/>
                <w:u w:val="single"/>
              </w:rPr>
            </w:pPr>
          </w:p>
          <w:p>
            <w:pPr>
              <w:spacing w:line="240" w:lineRule="auto"/>
              <w:jc w:val="center"/>
              <w:rPr>
                <w:rFonts w:hint="eastAsia"/>
                <w:b/>
                <w:sz w:val="36"/>
                <w:u w:val="single"/>
              </w:rPr>
            </w:pPr>
          </w:p>
          <w:p>
            <w:pPr>
              <w:spacing w:line="240" w:lineRule="auto"/>
              <w:jc w:val="center"/>
              <w:rPr>
                <w:rFonts w:cs="Times New Roman"/>
                <w:b/>
                <w:bCs/>
                <w:sz w:val="36"/>
                <w:szCs w:val="36"/>
              </w:rPr>
            </w:pPr>
            <w:r>
              <w:rPr>
                <w:rFonts w:hint="eastAsia"/>
                <w:b/>
                <w:sz w:val="36"/>
                <w:u w:val="single"/>
              </w:rPr>
              <w:t>检验科全自动糖化血红蛋白分析仪</w:t>
            </w:r>
            <w:r>
              <w:rPr>
                <w:rFonts w:hint="eastAsia" w:cs="宋体"/>
                <w:b/>
                <w:bCs/>
                <w:sz w:val="36"/>
                <w:szCs w:val="36"/>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使用科室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1668"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检验科</w:t>
            </w:r>
          </w:p>
        </w:tc>
        <w:tc>
          <w:tcPr>
            <w:tcW w:w="1134"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全自动糖化血红蛋白分析仪</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2293" w:type="dxa"/>
            <w:tcBorders>
              <w:top w:val="single" w:color="auto" w:sz="4" w:space="0"/>
            </w:tcBorders>
            <w:vAlign w:val="center"/>
          </w:tcPr>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技术需求</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检测原理：采用高效液相色谱法HPLC</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检测方法：采用双波长吸光度法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样本类型：全血模式、稀释模式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进样方式：连续自动进样和封闭穿刺进样，支持样本管及样品杯，支持急诊进样。</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测定模式: 包含标准模式、变异模式及地贫模式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溯源认证：通过IFCC及NGSP双认证</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检测速度：≤60s/test</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测定CV值：≤2%</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测定范围： 4.0%-18.0%</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操作系统：彩色液晶触摸显示屏操作，中英文系统</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数据储存: 可存储≥10000条记录。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数据传输:可连接LIS系统，有网络接口、USB接口及串口等接口</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打印方式：带内置打印字，也可连接外部打印机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结果报告：有异常峰检测提示，可识别并报告血红蛋白变异体</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负责与医院现有LIS系统对接，费用由卖方承担。</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配套使用试剂参数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试剂在上海市临检中心或国家卫健委临床检验中心室内或室间质评系统品牌清单中已存在的仪器试剂品牌。</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试剂三证齐全，且在有效期内。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试剂批号应保持一定的连续性，一般批号更换不超过三次/年。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试剂效期一般应为一年以上，送到医院及科室时效期剩余应不少于半年。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试剂应及时配送，一般在收到订单一周内配送，个别急用试剂应随时响应加急配送</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遇有突发的试剂质量、运输等问题须及时免费退换，涉及试剂的不良事件须在2小时内响应，本地有派驻机构及人员最佳。</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试剂清单中所列项目都能提供相应检测试剂（具体详见试剂清单）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配置清单：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主机系统(含连接线、数据线) 1套</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外接管路、废液桶等</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售后服务：</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整机（含配制清单中的所有设备及材料）保修≥6年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原厂负责售后服务，并且当地有常驻工程师和技术人员随时提供技术支持服务。若超过24小时无法排除故障，应提供备用机。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 其他</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1折旧年限：6年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 详细试剂参数和用量详见试剂技术需求表和检验设备试剂调研表</w:t>
            </w:r>
          </w:p>
        </w:tc>
      </w:tr>
    </w:tbl>
    <w:tbl>
      <w:tblPr>
        <w:tblStyle w:val="3"/>
        <w:tblW w:w="15730" w:type="dxa"/>
        <w:tblInd w:w="-7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060"/>
        <w:gridCol w:w="1783"/>
        <w:gridCol w:w="1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73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single"/>
                <w:lang w:val="en-US" w:eastAsia="zh-CN" w:bidi="ar"/>
              </w:rPr>
              <w:t xml:space="preserve"> 全自动糖化血红蛋白分析仪 </w:t>
            </w:r>
            <w:r>
              <w:rPr>
                <w:rFonts w:hint="eastAsia" w:ascii="宋体" w:hAnsi="宋体" w:eastAsia="宋体" w:cs="宋体"/>
                <w:b/>
                <w:bCs/>
                <w:i w:val="0"/>
                <w:iCs w:val="0"/>
                <w:color w:val="000000"/>
                <w:kern w:val="0"/>
                <w:sz w:val="36"/>
                <w:szCs w:val="36"/>
                <w:u w:val="none"/>
                <w:lang w:val="en-US" w:eastAsia="zh-CN" w:bidi="ar"/>
              </w:rPr>
              <w:t>试剂技术需求表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冷冻保存/常温</w:t>
            </w:r>
          </w:p>
        </w:tc>
        <w:tc>
          <w:tcPr>
            <w:tcW w:w="1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技术需求</w:t>
            </w:r>
            <w:r>
              <w:rPr>
                <w:rFonts w:ascii="Calibri" w:hAnsi="Calibri" w:eastAsia="宋体" w:cs="Calibri"/>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糖化定标液</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2-8℃冷藏</w:t>
            </w:r>
          </w:p>
        </w:tc>
        <w:tc>
          <w:tcPr>
            <w:tcW w:w="1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*1.试剂在上海市临检中心或国家卫健委临床检验中心室内或室间质评系统品牌清单中已存在的仪器试剂品牌。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*2.试剂三证齐全，且在有效期内。                                                                3.试剂批号应保持一定的连续性，一般批号更换不超过三次/年。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4.试剂效期一般应为一年以上，送到医院及科室时效期剩余应不少于半年。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5.试剂应及时配送，一般在收到订单一周内配送，个别急用试剂应随时响应加急配送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6.遇有突发的试剂质量、运输等问题须及时免费退换，涉及试剂的不良事件须在2小时内响应，本地有派驻机构及人员最佳。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糖化过滤网</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室温</w:t>
            </w:r>
          </w:p>
        </w:tc>
        <w:tc>
          <w:tcPr>
            <w:tcW w:w="1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糖化层析柱</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糖化缓冲液1</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糖化缓冲液2</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糖化缓冲液3</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糖化溶血剂</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rPr>
          <w:rFonts w:cs="Times New Roma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tbl>
      <w:tblPr>
        <w:tblStyle w:val="3"/>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134"/>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03" w:type="dxa"/>
            <w:gridSpan w:val="4"/>
            <w:tcBorders>
              <w:top w:val="nil"/>
              <w:left w:val="nil"/>
              <w:bottom w:val="single" w:color="auto" w:sz="4" w:space="0"/>
              <w:right w:val="nil"/>
            </w:tcBorders>
          </w:tcPr>
          <w:p>
            <w:pPr>
              <w:spacing w:line="240" w:lineRule="auto"/>
              <w:jc w:val="center"/>
              <w:rPr>
                <w:rFonts w:cs="Times New Roman"/>
                <w:b/>
                <w:bCs/>
                <w:sz w:val="36"/>
                <w:szCs w:val="36"/>
              </w:rPr>
            </w:pPr>
            <w:r>
              <w:rPr>
                <w:rFonts w:hint="eastAsia"/>
                <w:b/>
                <w:sz w:val="36"/>
                <w:u w:val="single"/>
              </w:rPr>
              <w:t>检验科全自动微生物分析系统</w:t>
            </w:r>
            <w:r>
              <w:rPr>
                <w:rFonts w:hint="eastAsia" w:cs="宋体"/>
                <w:b/>
                <w:bCs/>
                <w:sz w:val="36"/>
                <w:szCs w:val="36"/>
              </w:rPr>
              <w:t>参数最终表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使用科室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668"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检验科</w:t>
            </w:r>
          </w:p>
        </w:tc>
        <w:tc>
          <w:tcPr>
            <w:tcW w:w="1134"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全自动微生物分析系统</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2293" w:type="dxa"/>
            <w:tcBorders>
              <w:top w:val="single" w:color="auto" w:sz="4" w:space="0"/>
            </w:tcBorders>
            <w:vAlign w:val="center"/>
          </w:tcPr>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技术需求</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仪器能鉴定革兰阴性菌、革兰阳性菌、念珠菌、奈瑟菌、嗜血杆菌、厌氧菌、棒状杆菌。</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仪器能完成革兰阴性杆菌、革兰阳性球菌的药敏试验。革兰阴性菌可检测头孢类、碳青霉烯类、喹诺酮类、酶抑制剂类、替加环素、多粘菌素等抗菌药物；革兰阳性菌可提供替考拉宁、利奈唑胺等药物的药敏检测 ；抗菌药物覆盖 CLSI或EUCAST 的判断折点，满足临床根据PK/PD 用药的需求。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仪器能完成肺炎链球菌的药敏试验，可检测青霉素、头孢噻肟、美罗培南等药物结果。</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 仪器可以完成真菌药敏并可以检测卡泊芬净、米卡芬净等临床应用的高阶抗真菌药物的药敏测试。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测试通量：可同时进行≥50个病原菌的鉴定或药敏试验。</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测试速度：革兰阳性菌和革兰阴性菌≤ 6小时完成鉴定，药敏时间≤24小时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可根据观察到的 MIC 值确定细菌耐药表型，发现异常耐药表型； 优化抗生素管理，可对某些高级抗生素选择不报告药敏结果；可实现和 LIS 系统的单向或双向通讯，能够和质谱鉴定平台实现信息的无缝连接，鉴定结果直接传输，无须手工输入。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检测过程中无需另加试剂，鉴定药敏卡（板）呈封闭状态（保证生物安全）。</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鉴定药敏卡（板）的密封、装载、卸载由仪器自动化进行。</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 负责与医院现有LIS系统对接，费用由卖方承担。</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配套使用试剂参数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鉴定卡检测范围：革兰阴性杆菌、革兰阳性球菌、奈瑟菌、嗜血杆菌、厌氧菌、棒状杆菌、酵母菌。</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细菌鉴定时间≤12小时，酵母菌鉴定时间≤24小时。</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鉴定试剂盒纳入上海临检中心或卫健委临检中心质控评价试剂目录范围，且提供“三证”。</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试剂质量符合 FDA /CFDA质量体系规范关于微生物分析系统的要求，具有质量控制细菌及其预期结果。</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试剂有效期12个月及以上。</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革兰阳性细菌药敏卡提供药敏结果，包括葡萄球菌、肠球菌、肺炎链球菌，覆盖CLSI M100规定的A类药物。</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肺炎链球菌药敏卡可提供青霉素、美罗培南、头孢噻肟、头孢曲松、莫西沙星、阿莫西林、利奈唑胺等药物药敏检测。</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革兰阴性细菌药敏卡提供药敏结果，药物品种包括β-内酰胺类/抑制剂、头孢类、碳青霉烯类、氨基糖苷类、氟喹诺酮类、替加环素、多粘菌素类等。</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药敏卡试剂盒纳入上海临检中心或卫计委临检中心质控评价试剂目录范围，且提供“三证”。</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一次性悬浮液管：塑料清洁管，材料坚固、防破碎，用于装载细菌悬液。</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样本稀释液，为无菌生理盐水，用于配制菌悬液.</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试剂清单中所列项目都能提供相应检测试剂（具体详见试剂清单）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配置清单：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全自动微生物鉴定及药敏分析系统 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启动附件-塑料架子 1包（6个）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系统光盘 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条码读数器 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数据线 1根</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电磁干扰滤波器 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盐水瓶适配器 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一次性悬浮液管 ≥2000支</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电脑主机1个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显示器1个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插头 3个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电源线 2根</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远程用户许可证 2份</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UPS 1个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售后服务：</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整机保修（含配制清单中的所有设备及材料）≥6年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原厂负责售后服务，并且当地有常驻工程师和技术人员随时提供技术支持服务。若超过24小时无法排除故障，应提供备用机。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 其他</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 折旧年限6年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 详细试剂参数和用量详见试剂技术需求表和检验设备试剂调研表</w:t>
            </w:r>
          </w:p>
        </w:tc>
      </w:tr>
    </w:tbl>
    <w:tbl>
      <w:tblPr>
        <w:tblStyle w:val="3"/>
        <w:tblW w:w="5545" w:type="pct"/>
        <w:tblInd w:w="-7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2907"/>
        <w:gridCol w:w="2307"/>
        <w:gridCol w:w="9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single"/>
                <w:lang w:val="en-US" w:eastAsia="zh-CN" w:bidi="ar"/>
              </w:rPr>
              <w:t>全自动微生物分析系统</w:t>
            </w:r>
            <w:r>
              <w:rPr>
                <w:rFonts w:hint="eastAsia" w:ascii="宋体" w:hAnsi="宋体" w:eastAsia="宋体" w:cs="宋体"/>
                <w:b/>
                <w:bCs/>
                <w:i w:val="0"/>
                <w:iCs w:val="0"/>
                <w:color w:val="000000"/>
                <w:kern w:val="0"/>
                <w:sz w:val="36"/>
                <w:szCs w:val="36"/>
                <w:u w:val="none"/>
                <w:lang w:val="en-US" w:eastAsia="zh-CN" w:bidi="ar"/>
              </w:rPr>
              <w:t>试剂技术需求表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冷冻保存/常温</w:t>
            </w:r>
          </w:p>
        </w:tc>
        <w:tc>
          <w:tcPr>
            <w:tcW w:w="3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技术需求</w:t>
            </w:r>
            <w:r>
              <w:rPr>
                <w:rFonts w:ascii="Calibri" w:hAnsi="Calibri" w:eastAsia="宋体" w:cs="Calibri"/>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革兰阴性细菌鉴定卡</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2-8℃冷藏或常温保存</w:t>
            </w:r>
          </w:p>
        </w:tc>
        <w:tc>
          <w:tcPr>
            <w:tcW w:w="3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1.鉴定卡检测范围：革兰阴性杆菌、革兰阳性球菌、奈瑟菌、嗜血杆菌、厌氧菌、棒状杆菌、酵母菌。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2.细菌鉴定时间≤12小时，酵母菌鉴定时间≤24小时。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3.鉴定试剂盒纳入上海临检中心或卫健委临检中心质控评价试剂目录范围，且提供“三证”。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4.试剂质量符合 FDA /CFDA质量体系规范关于微生物分析系统的要求，具有质量控制细菌及其预期结果。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5.试剂有效期12个月及以上。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革兰阳性细菌鉴定卡</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奈瑟菌、嗜血杆菌鉴定卡</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厌氧菌及棒状杆菌鉴定卡</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酵母菌鉴定卡</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革兰阳性细菌药敏卡片</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2-8℃冷藏或常温保存</w:t>
            </w:r>
          </w:p>
        </w:tc>
        <w:tc>
          <w:tcPr>
            <w:tcW w:w="3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1.革兰阳性细菌药敏卡提供药敏结果，包括葡萄球菌、肠球菌、肺炎链球菌，覆盖CLSI M100规定的A类药物。</w:t>
            </w:r>
            <w:r>
              <w:rPr>
                <w:rFonts w:hint="eastAsia" w:ascii="宋体" w:hAnsi="宋体" w:eastAsia="宋体" w:cs="宋体"/>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2.肺炎链球菌药敏卡可提供青霉素、美罗培南、头孢噻肟、头孢曲松、莫西沙星、阿莫西林、利奈唑胺等药物药敏检测。</w:t>
            </w:r>
            <w:r>
              <w:rPr>
                <w:rFonts w:hint="eastAsia" w:ascii="宋体" w:hAnsi="宋体" w:eastAsia="宋体" w:cs="宋体"/>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3.革兰阴性细菌药敏卡提供药敏结果，药物品种包括β-内酰胺类/抑制剂、头孢类、碳青霉烯类、氨基糖苷类、氟喹诺酮类、替加环素、多粘菌素类等。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4.药敏卡试剂盒纳入上海临检中心或卫计委临检中心质控评价试剂目录范围，且提供“三证”。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5.试剂质量符合 FDA /CFDA质量体系规范关于微生物分析系统的要求，具有质量控制细菌及其预期结果。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6.试剂有效期12个月及以上。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肺炎链球菌药敏卡片</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革兰阴性细菌药敏卡片</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一次性悬浮液管</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常温保存</w:t>
            </w:r>
          </w:p>
        </w:tc>
        <w:tc>
          <w:tcPr>
            <w:tcW w:w="3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塑料清洁管，材料坚固、防破碎，用于装载细菌悬液。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样本稀释液</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常温保存</w:t>
            </w:r>
          </w:p>
        </w:tc>
        <w:tc>
          <w:tcPr>
            <w:tcW w:w="3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无菌生理盐水，用于配制菌悬液.</w:t>
            </w:r>
          </w:p>
        </w:tc>
      </w:tr>
    </w:tbl>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tbl>
      <w:tblPr>
        <w:tblStyle w:val="3"/>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134"/>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03" w:type="dxa"/>
            <w:gridSpan w:val="4"/>
            <w:tcBorders>
              <w:top w:val="nil"/>
              <w:left w:val="nil"/>
              <w:bottom w:val="single" w:color="auto" w:sz="4" w:space="0"/>
              <w:right w:val="nil"/>
            </w:tcBorders>
          </w:tcPr>
          <w:p>
            <w:pPr>
              <w:spacing w:line="240" w:lineRule="auto"/>
              <w:jc w:val="center"/>
              <w:rPr>
                <w:rFonts w:cs="Times New Roman"/>
                <w:b/>
                <w:bCs/>
                <w:sz w:val="36"/>
                <w:szCs w:val="36"/>
              </w:rPr>
            </w:pPr>
            <w:r>
              <w:rPr>
                <w:rFonts w:hint="eastAsia"/>
                <w:b/>
                <w:sz w:val="36"/>
                <w:u w:val="single"/>
              </w:rPr>
              <w:t>检验科全自动血流变分析仪</w:t>
            </w:r>
            <w:r>
              <w:rPr>
                <w:rFonts w:hint="eastAsia" w:cs="宋体"/>
                <w:b/>
                <w:bCs/>
                <w:sz w:val="36"/>
                <w:szCs w:val="36"/>
              </w:rPr>
              <w:t>参数最终表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使用科室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1" w:hRule="atLeast"/>
        </w:trPr>
        <w:tc>
          <w:tcPr>
            <w:tcW w:w="1668"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检验科</w:t>
            </w:r>
          </w:p>
        </w:tc>
        <w:tc>
          <w:tcPr>
            <w:tcW w:w="1134"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全自动血流变分析仪</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2293" w:type="dxa"/>
            <w:tcBorders>
              <w:top w:val="single" w:color="auto" w:sz="4" w:space="0"/>
            </w:tcBorders>
            <w:vAlign w:val="center"/>
          </w:tcPr>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技术需求</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测试原理：非接触式压力传感法，全可视测量主体</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全血≤30秒/标本，血浆≤10秒/标本</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加样针具有液面感应自动分离血浆功能</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轨道排管进样，原始管直接上机，闭盖穿刺，一次性可上样5*10个样本，可无限增加</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采用双独立控制系统，确保不停机可持续工作</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可提供原厂配套质控品，在上海临检中心分组</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重复性偏差：高切变率≤1.0%、中切变率≤1.0%、低切变率≤1.0%、血浆重复性偏差&lt;1.5%。</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全血粘度测量范围：0～70mPa.s（切应力0～14000mPa）</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全血测试用血量：≤ 700 ul，血浆测试用血量：≤500ul</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切变率范围：1s-1～200s-1</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具备微电脑智能温控系统，精度±0.1℃</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具备结果异常，清洗液不足，废液溢出报警功能</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自定义开放式报告单模式，并可数据传输</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负责与医院现有LIS系统对接，费用由卖方承担。</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配套使用试剂参数</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可以提供全血的1秒，50秒，200秒的结果及血浆粘度的结果， 并且在上海有多家三甲医院可以做结果比对，或者平行实验。</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在上海市临检中心的质控有目录品牌，可以进行室间质评分组。</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提供的试剂有效期≥6个月</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试剂提供的批号更换，一年不得多于3次。</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试剂的三证齐全。</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试剂应附带相应的校准品 ，质控品。</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保证试剂的质量（含包装）。</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试剂质量产生的任何问题，厂家负责及时更换，对医院引起的损失按2倍金额进行赔偿。</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一旦不良事件发生时，要及时响应并予以解决，响应时间原则上控制在2小时以内。</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试剂清单中所列项目都能提供相应检测试剂（具体详见试剂清单）</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配置清单：</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主机系统1套（包括1台血流变仪器，1台打印机，1台电脑）</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串口数据线 2根</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电源线 1根</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废液桶 2个</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试管5个</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进、排水管 1套</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缺液报警装置1套</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 售后服务：</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整机（含配制清单中的所有设备及材料）保修≥6年</w:t>
            </w:r>
          </w:p>
          <w:p>
            <w:pPr>
              <w:spacing w:line="44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原厂负责售后服务，并且当地有常驻工程师和技术人员随时提供技术支持服务。若超过24小时无法排除故障，应提供备用机。</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 其他</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1折旧年限：6年</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 详细试剂参数和用量详见试剂技术需求表和检验设备试剂调研表</w:t>
            </w:r>
          </w:p>
        </w:tc>
      </w:tr>
    </w:tbl>
    <w:tbl>
      <w:tblPr>
        <w:tblStyle w:val="3"/>
        <w:tblW w:w="5552" w:type="pct"/>
        <w:tblInd w:w="-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1"/>
        <w:gridCol w:w="2005"/>
        <w:gridCol w:w="1908"/>
        <w:gridCol w:w="10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single"/>
                <w:lang w:val="en-US" w:eastAsia="zh-CN" w:bidi="ar"/>
              </w:rPr>
              <w:t xml:space="preserve">  </w:t>
            </w:r>
            <w:r>
              <w:rPr>
                <w:rFonts w:hint="eastAsia" w:ascii="宋体" w:hAnsi="宋体" w:eastAsia="宋体" w:cs="宋体"/>
                <w:b/>
                <w:bCs/>
                <w:i w:val="0"/>
                <w:iCs w:val="0"/>
                <w:color w:val="000000"/>
                <w:kern w:val="0"/>
                <w:sz w:val="36"/>
                <w:szCs w:val="36"/>
                <w:u w:val="single"/>
                <w:lang w:val="en-US" w:eastAsia="zh-CN" w:bidi="ar"/>
              </w:rPr>
              <w:t xml:space="preserve">血流变分析仪 </w:t>
            </w:r>
            <w:r>
              <w:rPr>
                <w:rFonts w:hint="eastAsia" w:ascii="宋体" w:hAnsi="宋体" w:eastAsia="宋体" w:cs="宋体"/>
                <w:b/>
                <w:bCs/>
                <w:i w:val="0"/>
                <w:iCs w:val="0"/>
                <w:color w:val="000000"/>
                <w:kern w:val="0"/>
                <w:sz w:val="36"/>
                <w:szCs w:val="36"/>
                <w:u w:val="none"/>
                <w:lang w:val="en-US" w:eastAsia="zh-CN" w:bidi="ar"/>
              </w:rPr>
              <w:t>试剂技术需求表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6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冷冻保存/常温</w:t>
            </w:r>
          </w:p>
        </w:tc>
        <w:tc>
          <w:tcPr>
            <w:tcW w:w="3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技术需求</w:t>
            </w:r>
            <w:r>
              <w:rPr>
                <w:rFonts w:ascii="Calibri" w:hAnsi="Calibri" w:eastAsia="宋体" w:cs="Calibri"/>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清洗液</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常温保存</w:t>
            </w:r>
          </w:p>
        </w:tc>
        <w:tc>
          <w:tcPr>
            <w:tcW w:w="3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可以提供全血的1秒，50秒，200秒的结果及血浆粘度的结果， 并且在上海有多家三甲医院可以做结果比对，或者平行实验。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在上海市临检中心的质控有目录品牌，可以进行室间质评分组。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提供的试剂有效期≥6个月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 试剂提供的批号更换，一年不得多于3次。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 试剂的三证齐全。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 试剂应附带相应的校准品 ，质控品。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保证试剂的质量（含包装）。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试剂质量产生的任何问题，厂家负责及时更换，对医院引起的损失按2倍金额进行赔偿。                                                                                     9 一旦不良事件发生时，要及时响应并予以解决，响应时间原则上控制在2小时以内。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维护液</w:t>
            </w: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9"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探针清洗液</w:t>
            </w: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tbl>
      <w:tblPr>
        <w:tblStyle w:val="3"/>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134"/>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03" w:type="dxa"/>
            <w:gridSpan w:val="4"/>
            <w:tcBorders>
              <w:top w:val="nil"/>
              <w:left w:val="nil"/>
              <w:bottom w:val="single" w:color="auto" w:sz="4" w:space="0"/>
              <w:right w:val="nil"/>
            </w:tcBorders>
          </w:tcPr>
          <w:p>
            <w:pPr>
              <w:spacing w:line="240" w:lineRule="auto"/>
              <w:jc w:val="center"/>
              <w:rPr>
                <w:rFonts w:cs="Times New Roman"/>
                <w:b/>
                <w:bCs/>
                <w:sz w:val="36"/>
                <w:szCs w:val="36"/>
              </w:rPr>
            </w:pPr>
            <w:r>
              <w:rPr>
                <w:rFonts w:hint="eastAsia"/>
                <w:b/>
                <w:sz w:val="36"/>
                <w:u w:val="single"/>
              </w:rPr>
              <w:t>检验科生化分析仪</w:t>
            </w:r>
            <w:r>
              <w:rPr>
                <w:rFonts w:hint="eastAsia" w:cs="宋体"/>
                <w:b/>
                <w:bCs/>
                <w:sz w:val="36"/>
                <w:szCs w:val="36"/>
              </w:rPr>
              <w:t>参数最终表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2"/>
              </w:rPr>
            </w:pPr>
            <w:r>
              <w:rPr>
                <w:rFonts w:hint="eastAsia" w:cs="宋体"/>
                <w:b/>
                <w:bCs/>
                <w:sz w:val="22"/>
              </w:rPr>
              <w:t>使用科室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2"/>
              </w:rPr>
            </w:pPr>
            <w:r>
              <w:rPr>
                <w:rFonts w:hint="eastAsia" w:cs="宋体"/>
                <w:b/>
                <w:bCs/>
                <w:sz w:val="22"/>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2"/>
              </w:rPr>
            </w:pPr>
            <w:r>
              <w:rPr>
                <w:rFonts w:hint="eastAsia" w:cs="宋体"/>
                <w:b/>
                <w:bCs/>
                <w:sz w:val="22"/>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2"/>
              </w:rPr>
            </w:pPr>
            <w:r>
              <w:rPr>
                <w:rFonts w:hint="eastAsia" w:cs="宋体"/>
                <w:b/>
                <w:bCs/>
                <w:sz w:val="22"/>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6" w:hRule="atLeast"/>
        </w:trPr>
        <w:tc>
          <w:tcPr>
            <w:tcW w:w="1668"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检验科</w:t>
            </w:r>
          </w:p>
        </w:tc>
        <w:tc>
          <w:tcPr>
            <w:tcW w:w="1134"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全自动生化分析仪</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2293" w:type="dxa"/>
            <w:tcBorders>
              <w:top w:val="single" w:color="auto" w:sz="4" w:space="0"/>
            </w:tcBorders>
            <w:vAlign w:val="center"/>
          </w:tcPr>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技术需求</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≥2个常规生化模块和≥1个ISE模块</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轨道式进样</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有急诊通道</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生化单模块检测速度≥1800测试/小时，总模块速度≥3</w:t>
            </w:r>
            <w:r>
              <w:rPr>
                <w:rFonts w:cs="Times New Roman" w:asciiTheme="minorEastAsia" w:hAnsiTheme="minorEastAsia" w:eastAsiaTheme="minorEastAsia"/>
                <w:color w:val="000000" w:themeColor="text1"/>
                <w:sz w:val="24"/>
                <w:szCs w:val="24"/>
                <w14:textFill>
                  <w14:solidFill>
                    <w14:schemeClr w14:val="tx1"/>
                  </w14:solidFill>
                </w14:textFill>
              </w:rPr>
              <w:t>600</w:t>
            </w:r>
            <w:r>
              <w:rPr>
                <w:rFonts w:hint="eastAsia" w:cs="Times New Roman" w:asciiTheme="minorEastAsia" w:hAnsiTheme="minorEastAsia" w:eastAsiaTheme="minorEastAsia"/>
                <w:color w:val="000000" w:themeColor="text1"/>
                <w:sz w:val="24"/>
                <w:szCs w:val="24"/>
                <w14:textFill>
                  <w14:solidFill>
                    <w14:schemeClr w14:val="tx1"/>
                  </w14:solidFill>
                </w14:textFill>
              </w:rPr>
              <w:t>测试/小时</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电解质单模块测试速度≥900测试/小时。</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配备样本和试剂条形码，配合LIS信息系统可双工传输数据信息</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3具备试管液面自动跟踪功能</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样品种类包含血清,血浆,尿液,脑脊液等多种样本。</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试剂装载方式为分离式冷藏试剂仓，具有关机后独立制冷功能，试剂通道≥100个。                            </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光源</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采用卤素灯</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每只寿命≥2000小时</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波长范围涵盖340-800nm</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吸光度线性范围涵盖 0—3.0 OD。</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分析方法包含终点法,两点法、速率法、动力学法、比浊法等多种方法</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可采用线性/非线性多点定标等定标方式。</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最小</w:t>
            </w:r>
            <w:r>
              <w:rPr>
                <w:rFonts w:hint="eastAsia" w:ascii="宋体" w:hAnsi="宋体" w:cs="Times New Roman"/>
                <w:color w:val="000000"/>
                <w:sz w:val="24"/>
                <w:szCs w:val="24"/>
              </w:rPr>
              <w:t>样本加样量≤1</w:t>
            </w:r>
            <w:r>
              <w:rPr>
                <w:rFonts w:hint="eastAsia" w:ascii="微软雅黑" w:hAnsi="微软雅黑" w:eastAsia="微软雅黑" w:cs="微软雅黑"/>
                <w:color w:val="000000"/>
                <w:sz w:val="24"/>
                <w:szCs w:val="24"/>
              </w:rPr>
              <w:t>μl</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具备样品凝块检出功能及样品探针堵孔分级报警系统和防碰撞功能及气泡检出功能。</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负责与医院现有LIS系统对接，费用由卖方承担。</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同型号机型在上海医院的用户要≥10家。</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生化分析模块试剂为全开放（兼容所有试剂品牌）,用户可自编程序,并选择其他品牌试剂上机。</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配套使用试剂参数</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试剂为上海市临检中心或国家卫健委临床检验中心室内或室间质评系统品牌清单中已存在的试剂品牌。</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试剂三证齐全，且在有效期内。</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试剂批号应保持一定的连续性，一般批号更换不超过三次/年。</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试剂效期一般应为一年（个别试剂成分不稳定的除外），送到医院及科室时效期剩余应不少于半年。</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试剂应附带校准品，或根据科室要求配送指定品牌的第三方校准品。</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试剂应及时配送，一般在收到订单一周内配送，个别急用试剂应随时响应加急配送，全程冷链运输。                                                                             </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遇有突发的试剂质量、运输等问题须及时免费退换，涉及试剂的不良事件须在2小时内响应，本地有派驻机构及人员最佳</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试剂应有同级别医院用户，原则上不少于三家。</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NGAL和霉酚酸试剂应提供能证明其质量的性能验证报告或比对报告等文件,或其他可以证明其质量的材料。</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试剂清单中所列项目都能提供相应检测试剂（具体详见试剂清单）</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配置清单：</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主机系统1套（至少包含2个常规生化模块和1个ISE模块、轨道）</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控制电脑</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打印机</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电源线、数据线等相关连接线</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进水管、排水管等外接管路。</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售后服务</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整机（含配制清单中的所有设备及材料）保修≥6年</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保修期后每年一次免费的保养,软件免费升级，在本市具有原厂服务机构</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原厂负责售后服务，并且当地有常驻工程师和技术人员随时提供技术支持服务。若超过24小时无法排除故障，应提供备用机。</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 其他</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 折旧年限：6年</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 详细试剂参数和用量详见试剂技术需求表和检验设备试剂调研表</w:t>
            </w:r>
          </w:p>
        </w:tc>
      </w:tr>
    </w:tbl>
    <w:tbl>
      <w:tblPr>
        <w:tblStyle w:val="3"/>
        <w:tblW w:w="5505" w:type="pct"/>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3290"/>
        <w:gridCol w:w="2216"/>
        <w:gridCol w:w="8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single"/>
                <w:lang w:val="en-US" w:eastAsia="zh-CN" w:bidi="ar"/>
              </w:rPr>
              <w:t>全自动生化分析仪</w:t>
            </w:r>
            <w:r>
              <w:rPr>
                <w:rFonts w:hint="eastAsia" w:ascii="宋体" w:hAnsi="宋体" w:eastAsia="宋体" w:cs="宋体"/>
                <w:b/>
                <w:bCs/>
                <w:i w:val="0"/>
                <w:iCs w:val="0"/>
                <w:color w:val="000000"/>
                <w:kern w:val="0"/>
                <w:sz w:val="36"/>
                <w:szCs w:val="36"/>
                <w:u w:val="none"/>
                <w:lang w:val="en-US" w:eastAsia="zh-CN" w:bidi="ar"/>
              </w:rPr>
              <w:t>试剂技术需求表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7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冷冻保存/常温</w:t>
            </w:r>
          </w:p>
        </w:tc>
        <w:tc>
          <w:tcPr>
            <w:tcW w:w="27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技术需求</w:t>
            </w:r>
            <w:r>
              <w:rPr>
                <w:rFonts w:ascii="Calibri" w:hAnsi="Calibri" w:eastAsia="宋体" w:cs="Calibri"/>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β2微球蛋白</w:t>
            </w:r>
          </w:p>
        </w:tc>
        <w:tc>
          <w:tcPr>
            <w:tcW w:w="71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2-8℃冷藏</w:t>
            </w:r>
          </w:p>
        </w:tc>
        <w:tc>
          <w:tcPr>
            <w:tcW w:w="276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*1.试剂为上海市临检中心或国家卫健委临床检验中心室内或室间质评系统品牌清单中已存在的试剂品牌。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*2.试剂三证齐全，且在有效期内。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3.试剂批号应保持一定的连续性，一般批号更换不超过三次/年。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4.试剂效期一般应为一年（个别试剂成分不稳定的除外），送到医院及科室时效期剩余应不少于半年。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5.试剂应附带校准品，或根据科室要求配送指定品牌的第三方校准品。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6.试剂应及时配送，一般在收到订单一周内配送，个别急用试剂应随时响应加急配送，全程冷链运输。                                                                             7.遇有突发的试剂质量、运输等问题须及时免费退换，涉及试剂的不良事件须在2小时内响应，本地有派驻机构及人员最佳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γ谷氨酰基转移酶</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丙氨酸氨基转移酶</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胆汁酸</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低密度脂蛋白★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淀粉酶活力</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甘油三脂</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高密度脂蛋白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胱蛋白酶抑制剂C</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肌酐</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肌酸激酶(CK)</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碱性磷酸酶(AKP)</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尿素</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尿酸</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尿微量白蛋白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尿总蛋白定量</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前白蛋白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乳酸脱氢酶</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视黄醇结合蛋白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钾</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钠</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糖化血清白蛋白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天门冬氨酸氨基转移酶</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同型半胱氨酸</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腺苷脱氨酶</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载脂蛋白AI</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载脂蛋白B</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脂蛋白(a)</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直接胆红素</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总胆固醇</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总胆红素</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CKMB</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ASTm</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载脂蛋白E </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游离脂肪酸</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甘胆酸</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尿钾</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尿钠</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尿氯</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脑脊液氯</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尿肌酐</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尿尿素</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尿尿酸</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脑脊液总蛋白</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总铁结合力</w:t>
            </w:r>
          </w:p>
        </w:tc>
        <w:tc>
          <w:tcPr>
            <w:tcW w:w="7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N乙酰B-D糖苷酶</w:t>
            </w: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2-8℃冷藏</w:t>
            </w:r>
          </w:p>
        </w:tc>
        <w:tc>
          <w:tcPr>
            <w:tcW w:w="27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1.试剂应有同级别医院用户，原则上不少于三家。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*2.试剂三证齐全，且在有效期内。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3.试剂批号应保持一定的连续性，一般批号更换不超过三次/年。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4.试剂效期一般应为一年（个别试剂成分不稳定的除外），送到医院及科室时效期剩余应不少于半年。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*5.试剂应附带校准品，或根据科室要求配送指定品牌的第三方校准品。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6.试剂应及时配送，一般在收到订单一周内配送，个别急用试剂应随时响应加急配送，全程冷链运输。                                                                             7.遇有突发的试剂质量、运输等问题须及时免费退换，涉及试剂的不良事件须在2小时内响应，本地有派驻机构及人员最佳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补体C1Q</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超氧化物岐化酶</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胃蛋白酶原I</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胃蛋白酶原II</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血管紧张素转化酶</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血清5核苷酸酶</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岩藻糖苷酶</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尿视黄醇结合蛋白</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NGAL</w:t>
            </w: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2-8℃冷藏</w:t>
            </w:r>
          </w:p>
        </w:tc>
        <w:tc>
          <w:tcPr>
            <w:tcW w:w="27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*1.试剂应提供能证明其质量的性能验证报告或比对报告等文件,或其他可以证明其质量的材料。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*2.试剂三证齐全，且在有效期内。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3.试剂批号应保持一定的连续性，一般批号更换不超过三次/年。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4.试剂效期一般应为一年（个别试剂成分不稳定的除外），送到医院及科室时效期剩余应不少于半年。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*5.试剂应附带校准品，或根据科室要求配送指定品牌的第三方校准品。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6.试剂应及时配送，一般在收到订单一周内配送，个别急用试剂应随时响应加急配送，全程冷链运输。                                                                             7.遇有突发的试剂质量、运输等问题须及时免费退换，涉及试剂的不良事件须在2小时内响应，本地有派驻机构及人员最佳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霉酚酸</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电极清洗液</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2-8℃冷藏</w:t>
            </w:r>
          </w:p>
        </w:tc>
        <w:tc>
          <w:tcPr>
            <w:tcW w:w="27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无特殊要求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参比液</w:t>
            </w: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室温</w:t>
            </w: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电极缓冲液</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内标液</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清洗液</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钾电极</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钠电极</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氯电极</w:t>
            </w: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tbl>
      <w:tblPr>
        <w:tblStyle w:val="3"/>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276"/>
        <w:gridCol w:w="708"/>
        <w:gridCol w:w="1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03" w:type="dxa"/>
            <w:gridSpan w:val="4"/>
            <w:tcBorders>
              <w:top w:val="nil"/>
              <w:left w:val="nil"/>
              <w:bottom w:val="single" w:color="auto" w:sz="4" w:space="0"/>
              <w:right w:val="nil"/>
            </w:tcBorders>
          </w:tcPr>
          <w:p>
            <w:pPr>
              <w:spacing w:line="240" w:lineRule="auto"/>
              <w:jc w:val="center"/>
              <w:rPr>
                <w:rFonts w:cs="Times New Roman"/>
                <w:b/>
                <w:bCs/>
                <w:sz w:val="36"/>
                <w:szCs w:val="36"/>
              </w:rPr>
            </w:pPr>
            <w:r>
              <w:rPr>
                <w:rFonts w:hint="eastAsia"/>
                <w:b/>
                <w:sz w:val="36"/>
                <w:u w:val="single"/>
              </w:rPr>
              <w:t>检验科 特定蛋白分析仪</w:t>
            </w:r>
            <w:r>
              <w:rPr>
                <w:rFonts w:hint="eastAsia" w:cs="宋体"/>
                <w:b/>
                <w:bCs/>
                <w:sz w:val="36"/>
                <w:szCs w:val="36"/>
              </w:rPr>
              <w:t>参数最终表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4"/>
                <w:szCs w:val="24"/>
              </w:rPr>
            </w:pPr>
            <w:r>
              <w:rPr>
                <w:rFonts w:hint="eastAsia" w:cs="宋体"/>
                <w:b/>
                <w:bCs/>
                <w:sz w:val="24"/>
                <w:szCs w:val="24"/>
              </w:rPr>
              <w:t>使用科室</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4"/>
                <w:szCs w:val="24"/>
              </w:rPr>
            </w:pPr>
            <w:r>
              <w:rPr>
                <w:rFonts w:hint="eastAsia" w:cs="宋体"/>
                <w:b/>
                <w:bCs/>
                <w:sz w:val="24"/>
                <w:szCs w:val="24"/>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4"/>
                <w:szCs w:val="24"/>
              </w:rPr>
            </w:pPr>
            <w:r>
              <w:rPr>
                <w:rFonts w:hint="eastAsia" w:cs="宋体"/>
                <w:b/>
                <w:bCs/>
                <w:sz w:val="24"/>
                <w:szCs w:val="24"/>
              </w:rPr>
              <w:t>数量</w:t>
            </w:r>
          </w:p>
        </w:tc>
        <w:tc>
          <w:tcPr>
            <w:tcW w:w="12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sz w:val="24"/>
                <w:szCs w:val="24"/>
              </w:rPr>
            </w:pPr>
            <w:r>
              <w:rPr>
                <w:rFonts w:hint="eastAsia" w:cs="宋体"/>
                <w:b/>
                <w:bCs/>
                <w:sz w:val="24"/>
                <w:szCs w:val="24"/>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1" w:hRule="atLeast"/>
        </w:trPr>
        <w:tc>
          <w:tcPr>
            <w:tcW w:w="1526"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检验科</w:t>
            </w:r>
          </w:p>
        </w:tc>
        <w:tc>
          <w:tcPr>
            <w:tcW w:w="1276" w:type="dxa"/>
            <w:tcBorders>
              <w:top w:val="single" w:color="auto" w:sz="4" w:space="0"/>
            </w:tcBorders>
            <w:vAlign w:val="center"/>
          </w:tcPr>
          <w:p>
            <w:pPr>
              <w:spacing w:line="360" w:lineRule="exact"/>
              <w:rPr>
                <w:rFonts w:cs="宋体" w:asciiTheme="minorEastAsia" w:hAnsiTheme="minorEastAsia" w:eastAsiaTheme="minorEastAsia"/>
                <w:sz w:val="24"/>
                <w:szCs w:val="28"/>
              </w:rPr>
            </w:pPr>
            <w:r>
              <w:rPr>
                <w:rFonts w:hint="eastAsia" w:cs="Times New Roman" w:asciiTheme="minorEastAsia" w:hAnsiTheme="minorEastAsia" w:eastAsiaTheme="minorEastAsia"/>
                <w:color w:val="000000" w:themeColor="text1"/>
                <w:sz w:val="24"/>
                <w:szCs w:val="28"/>
                <w14:textFill>
                  <w14:solidFill>
                    <w14:schemeClr w14:val="tx1"/>
                  </w14:solidFill>
                </w14:textFill>
              </w:rPr>
              <w:t>特定蛋白分析仪</w:t>
            </w:r>
          </w:p>
        </w:tc>
        <w:tc>
          <w:tcPr>
            <w:tcW w:w="708" w:type="dxa"/>
            <w:tcBorders>
              <w:top w:val="single" w:color="auto" w:sz="4" w:space="0"/>
            </w:tcBorders>
            <w:vAlign w:val="center"/>
          </w:tcPr>
          <w:p>
            <w:pPr>
              <w:spacing w:line="400" w:lineRule="exact"/>
              <w:jc w:val="center"/>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1</w:t>
            </w:r>
          </w:p>
        </w:tc>
        <w:tc>
          <w:tcPr>
            <w:tcW w:w="12293" w:type="dxa"/>
            <w:tcBorders>
              <w:top w:val="single" w:color="auto" w:sz="4" w:space="0"/>
            </w:tcBorders>
            <w:vAlign w:val="center"/>
          </w:tcPr>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一</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技术需求</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*1采用散射比浊技术或透射比浊技术的特定蛋白仪（不含具有比浊功能的生化仪或生化模块）。</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#2.测试速度≥200测试/小时。</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3.检测菜单广泛，支持包括心血管疾病、类风湿性疾病、感染性疾病、肾脏疾病和其他疾病在内的相关检测项目。</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#4.全自动化运行，使用灵活，操作人员对样本和试剂均可随时加载。</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5.可兼容样本原始管、样品杯、样品管等多种上样方式，具有样本液面感应功能，可对样本、试剂、标准品和质控品进行条码识别，减少人为差错。</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*6具有抗原过量检测功能，并可以自动进行样本稀释检测。</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7.具备双向主机接口，可以连接LIS系统双向传输数据。</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#8.具有跟踪一些新项目如游离轻链检测等的能力，原厂配套最佳。</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cs="Times New Roman" w:asciiTheme="minorEastAsia" w:hAnsiTheme="minorEastAsia" w:eastAsiaTheme="minorEastAsia"/>
                <w:color w:val="000000" w:themeColor="text1"/>
                <w:sz w:val="24"/>
                <w:szCs w:val="28"/>
                <w14:textFill>
                  <w14:solidFill>
                    <w14:schemeClr w14:val="tx1"/>
                  </w14:solidFill>
                </w14:textFill>
              </w:rPr>
              <w:t>*</w:t>
            </w:r>
            <w:r>
              <w:rPr>
                <w:rFonts w:hint="eastAsia" w:cs="Times New Roman" w:asciiTheme="minorEastAsia" w:hAnsiTheme="minorEastAsia" w:eastAsiaTheme="minorEastAsia"/>
                <w:color w:val="000000" w:themeColor="text1"/>
                <w:sz w:val="24"/>
                <w:szCs w:val="28"/>
                <w14:textFill>
                  <w14:solidFill>
                    <w14:schemeClr w14:val="tx1"/>
                  </w14:solidFill>
                </w14:textFill>
              </w:rPr>
              <w:t>9负责与医院现有L</w:t>
            </w:r>
            <w:r>
              <w:rPr>
                <w:rFonts w:cs="Times New Roman" w:asciiTheme="minorEastAsia" w:hAnsiTheme="minorEastAsia" w:eastAsiaTheme="minorEastAsia"/>
                <w:color w:val="000000" w:themeColor="text1"/>
                <w:sz w:val="24"/>
                <w:szCs w:val="28"/>
                <w14:textFill>
                  <w14:solidFill>
                    <w14:schemeClr w14:val="tx1"/>
                  </w14:solidFill>
                </w14:textFill>
              </w:rPr>
              <w:t>IS</w:t>
            </w:r>
            <w:r>
              <w:rPr>
                <w:rFonts w:hint="eastAsia" w:cs="Times New Roman" w:asciiTheme="minorEastAsia" w:hAnsiTheme="minorEastAsia" w:eastAsiaTheme="minorEastAsia"/>
                <w:color w:val="000000" w:themeColor="text1"/>
                <w:sz w:val="24"/>
                <w:szCs w:val="28"/>
                <w14:textFill>
                  <w14:solidFill>
                    <w14:schemeClr w14:val="tx1"/>
                  </w14:solidFill>
                </w14:textFill>
              </w:rPr>
              <w:t>系统对接，费用由卖方承担。</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二</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配套使用试剂参数</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*1</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试剂在上海市临检中心或国家卫健委临床检验中心室内或室间质评系统品牌清单中已存在的仪器试剂品牌</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*2</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试剂三证齐全，且在有效期内。</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3</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试剂批号应保持一定的连续性，一般批号更换不超过三次/年。</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4</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试剂效期一般应为一年以上，送到医院及科室时效期剩余应不少于半年。</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5</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校准品为原厂原配专用校准品，溯源性至标准物质或参考方法等。</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6</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全程冷链运输，试剂应及时配送，一般在收到订单一周内配送，个别急用试剂应随时响应加急配送</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7.</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遇有突发的试剂质量、运输等问题须及时免费退换，涉及试剂的不良事件须在2小时内响应，本地有派驻机构及人员最佳。</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8</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试剂清单中所列项目都能提供相应检测试剂（具体详见试剂清单）</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三</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配置清单</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1</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主机系统(含样本架、连接线、数据线、外接管路及废液桶等)1套</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2</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控制电脑 1套</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四</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售后服务</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*1</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整机（含配制清单中的所有设备及材料）保修≥6年</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2</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原厂负责售后服务，并且当地有常驻工程师和技术人员随时提供技术支持服务。若超过24小时无法排除故障，应提供备用机。</w:t>
            </w:r>
          </w:p>
          <w:p>
            <w:pPr>
              <w:spacing w:line="380" w:lineRule="exact"/>
              <w:rPr>
                <w:rFonts w:hint="eastAsia"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#3</w:t>
            </w:r>
            <w:r>
              <w:rPr>
                <w:rFonts w:hint="eastAsia" w:cs="Times New Roman" w:asciiTheme="minorEastAsia" w:hAnsiTheme="minorEastAsia" w:eastAsiaTheme="minorEastAsia"/>
                <w:color w:val="000000" w:themeColor="text1"/>
                <w:sz w:val="24"/>
                <w:szCs w:val="28"/>
                <w14:textFill>
                  <w14:solidFill>
                    <w14:schemeClr w14:val="tx1"/>
                  </w14:solidFill>
                </w14:textFill>
              </w:rPr>
              <w:tab/>
            </w:r>
            <w:r>
              <w:rPr>
                <w:rFonts w:hint="eastAsia" w:cs="Times New Roman" w:asciiTheme="minorEastAsia" w:hAnsiTheme="minorEastAsia" w:eastAsiaTheme="minorEastAsia"/>
                <w:color w:val="000000" w:themeColor="text1"/>
                <w:sz w:val="24"/>
                <w:szCs w:val="28"/>
                <w14:textFill>
                  <w14:solidFill>
                    <w14:schemeClr w14:val="tx1"/>
                  </w14:solidFill>
                </w14:textFill>
              </w:rPr>
              <w:t>由原厂进行校准及保修，具备即时报修响应及24小时内上门服务能力。</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 其他</w:t>
            </w:r>
          </w:p>
          <w:p>
            <w:pPr>
              <w:spacing w:line="4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 折旧年限：6年</w:t>
            </w:r>
          </w:p>
          <w:p>
            <w:pPr>
              <w:spacing w:line="380" w:lineRule="exact"/>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 详细试剂参数和用量详见试剂技术需求表和检验设备试剂调研表</w:t>
            </w:r>
          </w:p>
        </w:tc>
      </w:tr>
    </w:tbl>
    <w:tbl>
      <w:tblPr>
        <w:tblStyle w:val="3"/>
        <w:tblW w:w="5534" w:type="pct"/>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0"/>
        <w:gridCol w:w="2485"/>
        <w:gridCol w:w="2300"/>
        <w:gridCol w:w="9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single"/>
                <w:lang w:val="en-US" w:eastAsia="zh-CN" w:bidi="ar"/>
              </w:rPr>
              <w:t>特定蛋白分析仪</w:t>
            </w:r>
            <w:r>
              <w:rPr>
                <w:rFonts w:hint="eastAsia" w:ascii="宋体" w:hAnsi="宋体" w:eastAsia="宋体" w:cs="宋体"/>
                <w:b/>
                <w:bCs/>
                <w:i w:val="0"/>
                <w:iCs w:val="0"/>
                <w:color w:val="000000"/>
                <w:kern w:val="0"/>
                <w:sz w:val="36"/>
                <w:szCs w:val="36"/>
                <w:u w:val="none"/>
                <w:lang w:val="en-US" w:eastAsia="zh-CN" w:bidi="ar"/>
              </w:rPr>
              <w:t>试剂技术需求表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7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冷冻保存/常温</w:t>
            </w:r>
          </w:p>
        </w:tc>
        <w:tc>
          <w:tcPr>
            <w:tcW w:w="303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技术需求</w:t>
            </w:r>
            <w:r>
              <w:rPr>
                <w:rFonts w:ascii="Calibri" w:hAnsi="Calibri" w:eastAsia="宋体" w:cs="Calibri"/>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补体C3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2-8℃冷藏</w:t>
            </w:r>
          </w:p>
        </w:tc>
        <w:tc>
          <w:tcPr>
            <w:tcW w:w="30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*1.试剂在上海市临检中心或国家卫计委临床检验中心室内或室间质评系统品牌清单中已存在的仪器试剂品牌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*2.试剂三证齐全，且在有效期内。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*3.试剂批号应保持一定的连续性，一般批号更换不超过三次/年。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4.试剂效期一般应为一年以上，送到医院及科室时效期剩余应不少于半年。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5.校准品为原厂原配专用校准品，溯源性至标准物质或参考方法等。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6.全程冷链运输，试剂应及时配送，一般在收到订单一周内配送，个别急用试剂应随时响应加急配送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7.遇有突发的试剂质量、运输等问题须及时免费退换，涉及试剂的不良事件须在2小时内响应，本地有派驻机构及人员最佳。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补体C4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抗"O"</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类风湿因子</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脑脊液白蛋白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铜蓝蛋白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血κ-轻链</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尿κ-轻链</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血λ-轻链</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尿λ-轻链</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血清IgA</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血清IgE</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血清IgG</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血清IgM</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血转铁蛋白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尿转铁蛋白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IGG4</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尿α1微球蛋白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脑脊液IgG</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CRP</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可溶性转铁蛋白受体</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SAA</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缺糖基转铁蛋白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α1酸性糖蛋白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α1抗胰蛋白酶</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α2巨球蛋白</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IGG1</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IGG2</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脑脊液IGA</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脑脊液IGG</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尿液定标品</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蛋白定标品</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风湿类定标品</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CSC清洗液</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样本密度分离液</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添加剂</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缓冲液</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常温</w:t>
            </w: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稀释液</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比色杯</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稀释杯</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p>
    <w:p>
      <w:pPr>
        <w:numPr>
          <w:ilvl w:val="0"/>
          <w:numId w:val="0"/>
        </w:numPr>
        <w:rPr>
          <w:rFonts w:hint="eastAsia" w:ascii="仿宋_GB2312" w:hAnsi="仿宋_GB2312" w:eastAsia="仿宋_GB2312" w:cs="仿宋_GB2312"/>
          <w:b w:val="0"/>
          <w:bCs/>
          <w:sz w:val="28"/>
          <w:szCs w:val="28"/>
          <w:u w:val="none"/>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jU3MTE2YmYxMjRjZjBjZWUxMDk1ZGQ5N2Q3NmQifQ=="/>
  </w:docVars>
  <w:rsids>
    <w:rsidRoot w:val="00172A27"/>
    <w:rsid w:val="1A9F0796"/>
    <w:rsid w:val="6FB3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character" w:customStyle="1" w:styleId="5">
    <w:name w:val="font81"/>
    <w:basedOn w:val="4"/>
    <w:qFormat/>
    <w:uiPriority w:val="0"/>
    <w:rPr>
      <w:rFonts w:hint="eastAsia" w:ascii="宋体" w:hAnsi="宋体" w:eastAsia="宋体" w:cs="宋体"/>
      <w:b/>
      <w:bCs/>
      <w:color w:val="000000"/>
      <w:sz w:val="44"/>
      <w:szCs w:val="44"/>
      <w:u w:val="single"/>
    </w:rPr>
  </w:style>
  <w:style w:type="character" w:customStyle="1" w:styleId="6">
    <w:name w:val="font01"/>
    <w:basedOn w:val="4"/>
    <w:qFormat/>
    <w:uiPriority w:val="0"/>
    <w:rPr>
      <w:rFonts w:hint="eastAsia" w:ascii="宋体" w:hAnsi="宋体" w:eastAsia="宋体" w:cs="宋体"/>
      <w:b/>
      <w:bCs/>
      <w:color w:val="000000"/>
      <w:sz w:val="44"/>
      <w:szCs w:val="44"/>
      <w:u w:val="none"/>
    </w:rPr>
  </w:style>
  <w:style w:type="character" w:customStyle="1" w:styleId="7">
    <w:name w:val="font41"/>
    <w:basedOn w:val="4"/>
    <w:uiPriority w:val="0"/>
    <w:rPr>
      <w:rFonts w:hint="eastAsia" w:ascii="宋体" w:hAnsi="宋体" w:eastAsia="宋体" w:cs="宋体"/>
      <w:b/>
      <w:bCs/>
      <w:color w:val="000000"/>
      <w:sz w:val="24"/>
      <w:szCs w:val="24"/>
      <w:u w:val="none"/>
    </w:rPr>
  </w:style>
  <w:style w:type="character" w:customStyle="1" w:styleId="8">
    <w:name w:val="font71"/>
    <w:basedOn w:val="4"/>
    <w:qFormat/>
    <w:uiPriority w:val="0"/>
    <w:rPr>
      <w:rFonts w:ascii="Calibri" w:hAnsi="Calibri" w:cs="Calibri"/>
      <w:b/>
      <w:bCs/>
      <w:color w:val="000000"/>
      <w:sz w:val="24"/>
      <w:szCs w:val="24"/>
      <w:u w:val="none"/>
    </w:rPr>
  </w:style>
  <w:style w:type="character" w:customStyle="1" w:styleId="9">
    <w:name w:val="font31"/>
    <w:basedOn w:val="4"/>
    <w:qFormat/>
    <w:uiPriority w:val="0"/>
    <w:rPr>
      <w:rFonts w:hint="eastAsia" w:ascii="宋体" w:hAnsi="宋体" w:eastAsia="宋体" w:cs="宋体"/>
      <w:color w:val="000000"/>
      <w:sz w:val="24"/>
      <w:szCs w:val="24"/>
      <w:u w:val="none"/>
    </w:rPr>
  </w:style>
  <w:style w:type="character" w:customStyle="1" w:styleId="10">
    <w:name w:val="font11"/>
    <w:basedOn w:val="4"/>
    <w:qFormat/>
    <w:uiPriority w:val="0"/>
    <w:rPr>
      <w:rFonts w:hint="default" w:ascii="Calibri" w:hAnsi="Calibri" w:cs="Calibri"/>
      <w:color w:val="000000"/>
      <w:sz w:val="24"/>
      <w:szCs w:val="24"/>
      <w:u w:val="none"/>
    </w:rPr>
  </w:style>
  <w:style w:type="character" w:customStyle="1" w:styleId="11">
    <w:name w:val="font51"/>
    <w:basedOn w:val="4"/>
    <w:qFormat/>
    <w:uiPriority w:val="0"/>
    <w:rPr>
      <w:rFonts w:hint="eastAsia" w:ascii="宋体" w:hAnsi="宋体" w:eastAsia="宋体" w:cs="宋体"/>
      <w:color w:val="000000"/>
      <w:sz w:val="24"/>
      <w:szCs w:val="24"/>
      <w:u w:val="none"/>
    </w:rPr>
  </w:style>
  <w:style w:type="character" w:customStyle="1" w:styleId="12">
    <w:name w:val="font101"/>
    <w:basedOn w:val="4"/>
    <w:uiPriority w:val="0"/>
    <w:rPr>
      <w:rFonts w:hint="default" w:ascii="Calibri" w:hAnsi="Calibri" w:cs="Calibri"/>
      <w:color w:val="000000"/>
      <w:sz w:val="24"/>
      <w:szCs w:val="24"/>
      <w:u w:val="none"/>
    </w:rPr>
  </w:style>
  <w:style w:type="character" w:customStyle="1" w:styleId="13">
    <w:name w:val="font91"/>
    <w:basedOn w:val="4"/>
    <w:uiPriority w:val="0"/>
    <w:rPr>
      <w:rFonts w:hint="eastAsia" w:ascii="宋体" w:hAnsi="宋体" w:eastAsia="宋体" w:cs="宋体"/>
      <w:color w:val="000000"/>
      <w:sz w:val="24"/>
      <w:szCs w:val="24"/>
      <w:u w:val="none"/>
    </w:rPr>
  </w:style>
  <w:style w:type="character" w:customStyle="1" w:styleId="14">
    <w:name w:val="font112"/>
    <w:basedOn w:val="4"/>
    <w:uiPriority w:val="0"/>
    <w:rPr>
      <w:rFonts w:hint="default" w:ascii="Calibri" w:hAnsi="Calibri" w:cs="Calibri"/>
      <w:color w:val="000000"/>
      <w:sz w:val="24"/>
      <w:szCs w:val="24"/>
      <w:u w:val="none"/>
    </w:rPr>
  </w:style>
  <w:style w:type="character" w:customStyle="1" w:styleId="15">
    <w:name w:val="font121"/>
    <w:basedOn w:val="4"/>
    <w:qFormat/>
    <w:uiPriority w:val="0"/>
    <w:rPr>
      <w:rFonts w:hint="default" w:ascii="Calibri" w:hAnsi="Calibri" w:cs="Calibri"/>
      <w:color w:val="000000"/>
      <w:sz w:val="24"/>
      <w:szCs w:val="24"/>
      <w:u w:val="none"/>
    </w:rPr>
  </w:style>
  <w:style w:type="character" w:customStyle="1" w:styleId="16">
    <w:name w:val="font21"/>
    <w:basedOn w:val="4"/>
    <w:uiPriority w:val="0"/>
    <w:rPr>
      <w:rFonts w:hint="eastAsia" w:ascii="宋体" w:hAnsi="宋体" w:eastAsia="宋体" w:cs="宋体"/>
      <w:color w:val="000000"/>
      <w:sz w:val="24"/>
      <w:szCs w:val="24"/>
      <w:u w:val="none"/>
    </w:rPr>
  </w:style>
  <w:style w:type="character" w:customStyle="1" w:styleId="17">
    <w:name w:val="font6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13272</Words>
  <Characters>14868</Characters>
  <Lines>0</Lines>
  <Paragraphs>0</Paragraphs>
  <TotalTime>15</TotalTime>
  <ScaleCrop>false</ScaleCrop>
  <LinksUpToDate>false</LinksUpToDate>
  <CharactersWithSpaces>16618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2022-10-18T00:40:00Z</dcterms:created>
  <dc:creator>Liu</dc:creator>
  <cp:lastModifiedBy>Liu</cp:lastModifiedBy>
  <cp:lastPrinted>2022-10-18T01:36:22Z</cp:lastPrinted>
  <dcterms:modified xsi:type="dcterms:W3CDTF">2022-10-18T06:06:55Z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2EFEC30D1F0C4FCC8CE2540ADFE2CCFD</vt:lpwstr>
  </property>
</Properties>
</file>