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eastAsia="方正小标宋简体"/>
          <w:sz w:val="44"/>
          <w:szCs w:val="44"/>
          <w:lang w:val="en-US" w:eastAsia="zh-CN"/>
        </w:rPr>
      </w:pPr>
      <w:bookmarkStart w:id="1" w:name="_GoBack"/>
      <w:r>
        <w:rPr>
          <w:rFonts w:hint="eastAsia" w:ascii="方正小标宋简体" w:eastAsia="方正小标宋简体"/>
          <w:sz w:val="44"/>
          <w:szCs w:val="44"/>
        </w:rPr>
        <w:t>BA系统维保</w:t>
      </w:r>
      <w:r>
        <w:rPr>
          <w:rFonts w:hint="eastAsia" w:ascii="方正小标宋简体" w:eastAsia="方正小标宋简体"/>
          <w:sz w:val="44"/>
          <w:szCs w:val="44"/>
          <w:lang w:val="en-US" w:eastAsia="zh-CN"/>
        </w:rPr>
        <w:t>项目技术参数</w:t>
      </w:r>
      <w:bookmarkEnd w:id="1"/>
      <w:r>
        <w:rPr>
          <w:rFonts w:hint="eastAsia" w:ascii="方正小标宋简体" w:eastAsia="方正小标宋简体"/>
          <w:sz w:val="44"/>
          <w:szCs w:val="44"/>
          <w:lang w:val="en-US" w:eastAsia="zh-CN"/>
        </w:rPr>
        <w:t>和服务需求</w:t>
      </w:r>
    </w:p>
    <w:p>
      <w:pPr>
        <w:rPr>
          <w:rFonts w:ascii="黑体" w:hAnsi="黑体" w:eastAsia="黑体"/>
          <w:sz w:val="32"/>
          <w:szCs w:val="36"/>
        </w:rPr>
      </w:pPr>
      <w:r>
        <w:rPr>
          <w:rFonts w:hint="eastAsia" w:ascii="黑体" w:hAnsi="黑体" w:eastAsia="黑体"/>
          <w:sz w:val="32"/>
          <w:szCs w:val="36"/>
        </w:rPr>
        <w:t>一、项目需求</w:t>
      </w:r>
    </w:p>
    <w:tbl>
      <w:tblPr>
        <w:tblStyle w:val="4"/>
        <w:tblW w:w="5000" w:type="pct"/>
        <w:tblInd w:w="0" w:type="dxa"/>
        <w:tblLayout w:type="autofit"/>
        <w:tblCellMar>
          <w:top w:w="0" w:type="dxa"/>
          <w:left w:w="108" w:type="dxa"/>
          <w:bottom w:w="0" w:type="dxa"/>
          <w:right w:w="108" w:type="dxa"/>
        </w:tblCellMar>
      </w:tblPr>
      <w:tblGrid>
        <w:gridCol w:w="813"/>
        <w:gridCol w:w="1985"/>
        <w:gridCol w:w="2188"/>
        <w:gridCol w:w="2316"/>
        <w:gridCol w:w="6817"/>
      </w:tblGrid>
      <w:tr>
        <w:tblPrEx>
          <w:tblCellMar>
            <w:top w:w="0" w:type="dxa"/>
            <w:left w:w="108" w:type="dxa"/>
            <w:bottom w:w="0" w:type="dxa"/>
            <w:right w:w="108" w:type="dxa"/>
          </w:tblCellMar>
        </w:tblPrEx>
        <w:trPr>
          <w:trHeight w:val="346" w:hRule="atLeast"/>
        </w:trPr>
        <w:tc>
          <w:tcPr>
            <w:tcW w:w="28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b/>
                <w:bCs/>
              </w:rPr>
            </w:pPr>
            <w:bookmarkStart w:id="0" w:name="RANGE!A1:E29"/>
            <w:r>
              <w:rPr>
                <w:rFonts w:hint="eastAsia" w:ascii="仿宋_GB2312" w:hAnsi="仿宋_GB2312" w:eastAsia="仿宋_GB2312" w:cs="仿宋_GB2312"/>
                <w:b/>
                <w:bCs/>
              </w:rPr>
              <w:t>序号</w:t>
            </w:r>
            <w:bookmarkEnd w:id="0"/>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服务项</w:t>
            </w:r>
          </w:p>
        </w:tc>
        <w:tc>
          <w:tcPr>
            <w:tcW w:w="2414" w:type="pct"/>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内容要求</w:t>
            </w:r>
          </w:p>
        </w:tc>
      </w:tr>
      <w:tr>
        <w:tblPrEx>
          <w:tblCellMar>
            <w:top w:w="0" w:type="dxa"/>
            <w:left w:w="108" w:type="dxa"/>
            <w:bottom w:w="0" w:type="dxa"/>
            <w:right w:w="108" w:type="dxa"/>
          </w:tblCellMar>
        </w:tblPrEx>
        <w:trPr>
          <w:trHeight w:val="39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一、系统交接</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基本资料核对</w:t>
            </w:r>
          </w:p>
        </w:tc>
        <w:tc>
          <w:tcPr>
            <w:tcW w:w="2414"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在第一个服务月一周内完成系统点位检查，包括末端传感器、末端执行器以及DDC控制模块、网络控制器/适配器、上位机服务器等。核对基本项目资料、点表及图纸；</w:t>
            </w:r>
          </w:p>
        </w:tc>
      </w:tr>
      <w:tr>
        <w:tblPrEx>
          <w:tblCellMar>
            <w:top w:w="0" w:type="dxa"/>
            <w:left w:w="108" w:type="dxa"/>
            <w:bottom w:w="0" w:type="dxa"/>
            <w:right w:w="108" w:type="dxa"/>
          </w:tblCellMar>
        </w:tblPrEx>
        <w:trPr>
          <w:trHeight w:val="399" w:hRule="atLeast"/>
        </w:trPr>
        <w:tc>
          <w:tcPr>
            <w:tcW w:w="288"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2</w:t>
            </w:r>
          </w:p>
        </w:tc>
        <w:tc>
          <w:tcPr>
            <w:tcW w:w="703"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系统体检</w:t>
            </w:r>
          </w:p>
        </w:tc>
        <w:tc>
          <w:tcPr>
            <w:tcW w:w="1595" w:type="pct"/>
            <w:gridSpan w:val="2"/>
            <w:tcBorders>
              <w:top w:val="single" w:color="auto" w:sz="4" w:space="0"/>
              <w:left w:val="nil"/>
              <w:bottom w:val="single" w:color="auto" w:sz="4" w:space="0"/>
              <w:right w:val="single" w:color="000000"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系统点检</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1595" w:type="pct"/>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强电设备控制柜检查</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75"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传感器检查</w:t>
            </w:r>
          </w:p>
        </w:tc>
        <w:tc>
          <w:tcPr>
            <w:tcW w:w="820"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电阻型传感器</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75"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820"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有源型传感器</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75"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820"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开关状态传感器</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75"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执行机构检查</w:t>
            </w:r>
          </w:p>
        </w:tc>
        <w:tc>
          <w:tcPr>
            <w:tcW w:w="820"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水阀执行机构</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75"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820"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风阀执行机构</w:t>
            </w:r>
          </w:p>
        </w:tc>
        <w:tc>
          <w:tcPr>
            <w:tcW w:w="2414"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二、定期维护</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系统时间表检测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每月检查时间表设置及参数</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3</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数据交换检测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每月检查系统数据库及数据交换是否正常</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4</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报警平台检测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每月检查设备报警情况</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5</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控制参数设置检测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每月检查设定值及控制参数</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6</w:t>
            </w:r>
          </w:p>
        </w:tc>
        <w:tc>
          <w:tcPr>
            <w:tcW w:w="2298" w:type="pct"/>
            <w:gridSpan w:val="3"/>
            <w:tcBorders>
              <w:top w:val="single" w:color="auto" w:sz="4" w:space="0"/>
              <w:left w:val="nil"/>
              <w:bottom w:val="single" w:color="auto" w:sz="4" w:space="0"/>
              <w:right w:val="single" w:color="000000"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网络控制器/网络适配器的检测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每月检查网络控制器及适配器电源、通讯情况</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7</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网关接口通讯检测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每月检查网关接口设备运行情况</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8</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服务器检查</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每月上位机服务器运行情况</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9</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通讯检查</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每月检查DDC通讯、控制、反馈命令延迟情况</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10</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系统、程序备份</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每季度进行一次系统及程序备份</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11</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系统逻辑功能检测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每半年检查一次子系统控制逻辑</w:t>
            </w:r>
          </w:p>
        </w:tc>
      </w:tr>
      <w:tr>
        <w:tblPrEx>
          <w:tblCellMar>
            <w:top w:w="0" w:type="dxa"/>
            <w:left w:w="108" w:type="dxa"/>
            <w:bottom w:w="0" w:type="dxa"/>
            <w:right w:w="108" w:type="dxa"/>
          </w:tblCellMar>
        </w:tblPrEx>
        <w:trPr>
          <w:trHeight w:val="576"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12</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冬夏季节切换功能检测</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夏季每年4-6月检查给排水及冷源系统设备</w:t>
            </w:r>
          </w:p>
          <w:p>
            <w:pPr>
              <w:rPr>
                <w:rFonts w:hint="eastAsia" w:ascii="仿宋_GB2312" w:hAnsi="仿宋_GB2312" w:eastAsia="仿宋_GB2312" w:cs="仿宋_GB2312"/>
              </w:rPr>
            </w:pPr>
            <w:r>
              <w:rPr>
                <w:rFonts w:hint="eastAsia" w:ascii="仿宋_GB2312" w:hAnsi="仿宋_GB2312" w:eastAsia="仿宋_GB2312" w:cs="仿宋_GB2312"/>
              </w:rPr>
              <w:t>冬季每年10-12月检查防冻及热源系统设备</w:t>
            </w:r>
          </w:p>
        </w:tc>
      </w:tr>
      <w:tr>
        <w:tblPrEx>
          <w:tblCellMar>
            <w:top w:w="0" w:type="dxa"/>
            <w:left w:w="108" w:type="dxa"/>
            <w:bottom w:w="0" w:type="dxa"/>
            <w:right w:w="108" w:type="dxa"/>
          </w:tblCellMar>
        </w:tblPrEx>
        <w:trPr>
          <w:trHeight w:val="399" w:hRule="atLeast"/>
        </w:trPr>
        <w:tc>
          <w:tcPr>
            <w:tcW w:w="288"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13</w:t>
            </w:r>
          </w:p>
        </w:tc>
        <w:tc>
          <w:tcPr>
            <w:tcW w:w="703" w:type="pct"/>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现场检查</w:t>
            </w:r>
          </w:p>
        </w:tc>
        <w:tc>
          <w:tcPr>
            <w:tcW w:w="1595" w:type="pct"/>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DDC控制箱检查与清理</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每季清理DDC控制箱体内外以及末端设备</w:t>
            </w:r>
          </w:p>
        </w:tc>
      </w:tr>
      <w:tr>
        <w:tblPrEx>
          <w:tblCellMar>
            <w:top w:w="0" w:type="dxa"/>
            <w:left w:w="108" w:type="dxa"/>
            <w:bottom w:w="0" w:type="dxa"/>
            <w:right w:w="108" w:type="dxa"/>
          </w:tblCellMar>
        </w:tblPrEx>
        <w:trPr>
          <w:trHeight w:val="399" w:hRule="atLeast"/>
        </w:trPr>
        <w:tc>
          <w:tcPr>
            <w:tcW w:w="288"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703" w:type="pct"/>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p>
        </w:tc>
        <w:tc>
          <w:tcPr>
            <w:tcW w:w="1595" w:type="pct"/>
            <w:gridSpan w:val="2"/>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设备防水措施检查</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每半年检查室外露天设备的防水保护情况</w:t>
            </w:r>
          </w:p>
        </w:tc>
      </w:tr>
      <w:tr>
        <w:tblPrEx>
          <w:tblCellMar>
            <w:top w:w="0" w:type="dxa"/>
            <w:left w:w="108" w:type="dxa"/>
            <w:bottom w:w="0" w:type="dxa"/>
            <w:right w:w="108" w:type="dxa"/>
          </w:tblCellMar>
        </w:tblPrEx>
        <w:trPr>
          <w:trHeight w:val="39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rPr>
                <w:rFonts w:hint="eastAsia" w:ascii="仿宋_GB2312" w:hAnsi="仿宋_GB2312" w:eastAsia="仿宋_GB2312" w:cs="仿宋_GB2312"/>
                <w:b/>
                <w:bCs/>
              </w:rPr>
            </w:pPr>
            <w:r>
              <w:rPr>
                <w:rFonts w:hint="eastAsia" w:ascii="仿宋_GB2312" w:hAnsi="仿宋_GB2312" w:eastAsia="仿宋_GB2312" w:cs="仿宋_GB2312"/>
                <w:b/>
                <w:bCs/>
              </w:rPr>
              <w:t>三、应急事件响应</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1</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远程故障修复</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30分钟内远程响应</w:t>
            </w: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2</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备品备件替换</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发生设备故障时提供常备备件，能够及时恢复现场</w:t>
            </w:r>
          </w:p>
        </w:tc>
      </w:tr>
      <w:tr>
        <w:tblPrEx>
          <w:tblCellMar>
            <w:top w:w="0" w:type="dxa"/>
            <w:left w:w="108" w:type="dxa"/>
            <w:bottom w:w="0" w:type="dxa"/>
            <w:right w:w="108" w:type="dxa"/>
          </w:tblCellMar>
        </w:tblPrEx>
        <w:trPr>
          <w:trHeight w:val="576"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3</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现场应急报修</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rPr>
            </w:pPr>
            <w:r>
              <w:rPr>
                <w:rFonts w:hint="eastAsia" w:ascii="仿宋_GB2312" w:hAnsi="仿宋_GB2312" w:eastAsia="仿宋_GB2312" w:cs="仿宋_GB2312"/>
              </w:rPr>
              <w:t>2小时现场响应</w:t>
            </w:r>
          </w:p>
          <w:p>
            <w:pPr>
              <w:rPr>
                <w:rFonts w:hint="eastAsia" w:ascii="仿宋_GB2312" w:hAnsi="仿宋_GB2312" w:eastAsia="仿宋_GB2312" w:cs="仿宋_GB2312"/>
              </w:rPr>
            </w:pPr>
            <w:r>
              <w:rPr>
                <w:rFonts w:hint="eastAsia" w:ascii="仿宋_GB2312" w:hAnsi="仿宋_GB2312" w:eastAsia="仿宋_GB2312" w:cs="仿宋_GB2312"/>
              </w:rPr>
              <w:t>12小时内恢复正常运行</w:t>
            </w:r>
          </w:p>
          <w:p>
            <w:pPr>
              <w:rPr>
                <w:rFonts w:hint="eastAsia" w:ascii="仿宋_GB2312" w:hAnsi="仿宋_GB2312" w:eastAsia="仿宋_GB2312" w:cs="仿宋_GB2312"/>
              </w:rPr>
            </w:pPr>
          </w:p>
          <w:p>
            <w:pPr>
              <w:rPr>
                <w:rFonts w:hint="eastAsia" w:ascii="仿宋_GB2312" w:hAnsi="仿宋_GB2312" w:eastAsia="仿宋_GB2312" w:cs="仿宋_GB2312"/>
              </w:rPr>
            </w:pPr>
          </w:p>
        </w:tc>
      </w:tr>
      <w:tr>
        <w:tblPrEx>
          <w:tblCellMar>
            <w:top w:w="0" w:type="dxa"/>
            <w:left w:w="108" w:type="dxa"/>
            <w:bottom w:w="0" w:type="dxa"/>
            <w:right w:w="108" w:type="dxa"/>
          </w:tblCellMar>
        </w:tblPrEx>
        <w:trPr>
          <w:trHeight w:val="399" w:hRule="atLeast"/>
        </w:trPr>
        <w:tc>
          <w:tcPr>
            <w:tcW w:w="288" w:type="pc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b/>
              </w:rPr>
            </w:pPr>
            <w:r>
              <w:rPr>
                <w:rFonts w:hint="eastAsia" w:ascii="仿宋_GB2312" w:hAnsi="仿宋_GB2312" w:eastAsia="仿宋_GB2312" w:cs="仿宋_GB2312"/>
                <w:b/>
              </w:rPr>
              <w:t>4</w:t>
            </w:r>
          </w:p>
        </w:tc>
        <w:tc>
          <w:tcPr>
            <w:tcW w:w="2298" w:type="pct"/>
            <w:gridSpan w:val="3"/>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b/>
              </w:rPr>
            </w:pPr>
            <w:r>
              <w:rPr>
                <w:rFonts w:hint="eastAsia" w:ascii="仿宋_GB2312" w:hAnsi="仿宋_GB2312" w:eastAsia="仿宋_GB2312" w:cs="仿宋_GB2312"/>
                <w:b/>
              </w:rPr>
              <w:t>报警推送服务</w:t>
            </w:r>
          </w:p>
        </w:tc>
        <w:tc>
          <w:tcPr>
            <w:tcW w:w="2414" w:type="pct"/>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b/>
              </w:rPr>
            </w:pPr>
            <w:r>
              <w:rPr>
                <w:rFonts w:hint="eastAsia" w:ascii="仿宋_GB2312" w:hAnsi="仿宋_GB2312" w:eastAsia="仿宋_GB2312" w:cs="仿宋_GB2312"/>
                <w:b/>
              </w:rPr>
              <w:t>基于数据分析及诊断结果的问题、故障和报警推送</w:t>
            </w:r>
          </w:p>
          <w:p>
            <w:pPr>
              <w:numPr>
                <w:ilvl w:val="0"/>
                <w:numId w:val="1"/>
              </w:numPr>
              <w:rPr>
                <w:rFonts w:hint="eastAsia" w:ascii="仿宋_GB2312" w:hAnsi="仿宋_GB2312" w:eastAsia="仿宋_GB2312" w:cs="仿宋_GB2312"/>
                <w:b/>
              </w:rPr>
            </w:pPr>
            <w:r>
              <w:rPr>
                <w:rFonts w:hint="eastAsia" w:ascii="仿宋_GB2312" w:hAnsi="仿宋_GB2312" w:eastAsia="仿宋_GB2312" w:cs="仿宋_GB2312"/>
                <w:b/>
              </w:rPr>
              <w:t>被控设备故障报警，长时间故障不修复报警</w:t>
            </w:r>
          </w:p>
          <w:p>
            <w:pPr>
              <w:numPr>
                <w:ilvl w:val="0"/>
                <w:numId w:val="1"/>
              </w:numPr>
              <w:rPr>
                <w:rFonts w:hint="eastAsia" w:ascii="仿宋_GB2312" w:hAnsi="仿宋_GB2312" w:eastAsia="仿宋_GB2312" w:cs="仿宋_GB2312"/>
                <w:b/>
              </w:rPr>
            </w:pPr>
            <w:r>
              <w:rPr>
                <w:rFonts w:hint="eastAsia" w:ascii="仿宋_GB2312" w:hAnsi="仿宋_GB2312" w:eastAsia="仿宋_GB2312" w:cs="仿宋_GB2312"/>
                <w:b/>
              </w:rPr>
              <w:t>DDC通讯、传感器和执行器故障</w:t>
            </w:r>
          </w:p>
          <w:p>
            <w:pPr>
              <w:rPr>
                <w:rFonts w:hint="eastAsia" w:ascii="仿宋_GB2312" w:hAnsi="仿宋_GB2312" w:eastAsia="仿宋_GB2312" w:cs="仿宋_GB2312"/>
                <w:b/>
              </w:rPr>
            </w:pPr>
            <w:r>
              <w:rPr>
                <w:rFonts w:hint="eastAsia" w:ascii="仿宋_GB2312" w:hAnsi="仿宋_GB2312" w:eastAsia="仿宋_GB2312" w:cs="仿宋_GB2312"/>
                <w:b/>
              </w:rPr>
              <w:t>3）温湿度控制不良、设备不正常启动、温度设定不合理等问题</w:t>
            </w:r>
          </w:p>
        </w:tc>
      </w:tr>
    </w:tbl>
    <w:p>
      <w:pPr>
        <w:rPr>
          <w:b/>
          <w:bCs/>
        </w:rPr>
        <w:sectPr>
          <w:pgSz w:w="16783" w:h="11850" w:orient="landscape"/>
          <w:pgMar w:top="1800" w:right="1440" w:bottom="1800" w:left="1440" w:header="720" w:footer="720" w:gutter="0"/>
          <w:cols w:space="720" w:num="1"/>
          <w:docGrid w:linePitch="286" w:charSpace="0"/>
        </w:sectPr>
      </w:pPr>
    </w:p>
    <w:p>
      <w:pPr>
        <w:rPr>
          <w:rFonts w:hint="eastAsia" w:ascii="黑体" w:hAnsi="黑体" w:eastAsia="黑体"/>
          <w:sz w:val="32"/>
          <w:szCs w:val="36"/>
        </w:rPr>
      </w:pPr>
      <w:r>
        <w:rPr>
          <w:rFonts w:hint="eastAsia" w:ascii="仿宋_GB2312" w:eastAsia="仿宋_GB2312"/>
          <w:b/>
          <w:bCs/>
          <w:sz w:val="32"/>
          <w:szCs w:val="36"/>
        </w:rPr>
        <w:t xml:space="preserve"> </w:t>
      </w:r>
      <w:r>
        <w:rPr>
          <w:rFonts w:hint="eastAsia" w:ascii="黑体" w:hAnsi="黑体" w:eastAsia="黑体"/>
          <w:sz w:val="32"/>
          <w:szCs w:val="36"/>
        </w:rPr>
        <w:t>二、维护保养服务参数要求：</w:t>
      </w:r>
    </w:p>
    <w:p>
      <w:pPr>
        <w:ind w:firstLine="600" w:firstLineChars="200"/>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投标方须参与不少于三个医院项目的BA系统技术调试服务，和参与不少于三个医院项目的BA维保服务（提供合同复印件）。具备智能化设备维修安装资质的优先考虑。</w:t>
      </w:r>
    </w:p>
    <w:p>
      <w:pPr>
        <w:ind w:firstLine="600" w:firstLineChars="200"/>
        <w:rPr>
          <w:rFonts w:hint="eastAsia"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投标方需具备霍尼韦尔 WEBS系统 或 西门子 PXC系统的代理证，有霍尼韦尔或西门子的培训机构颁发的证书。</w:t>
      </w:r>
    </w:p>
    <w:p>
      <w:pPr>
        <w:ind w:firstLine="600" w:firstLineChars="200"/>
        <w:rPr>
          <w:rFonts w:hint="eastAsia"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投标方必须提供全天候24小时即时响应的现场服务，以保证当系统发生故障问题后及时得到维修和恢复。</w:t>
      </w:r>
    </w:p>
    <w:p>
      <w:pPr>
        <w:ind w:firstLine="600" w:firstLineChars="200"/>
        <w:rPr>
          <w:rFonts w:hint="eastAsia" w:ascii="仿宋_GB2312" w:eastAsia="仿宋_GB2312"/>
          <w:sz w:val="30"/>
          <w:szCs w:val="30"/>
        </w:rPr>
      </w:pPr>
      <w:r>
        <w:rPr>
          <w:rFonts w:hint="eastAsia" w:ascii="仿宋_GB2312" w:eastAsia="仿宋_GB2312"/>
          <w:sz w:val="30"/>
          <w:szCs w:val="30"/>
        </w:rPr>
        <w:t>4.投标方需提供维保项目组名单，包括服务人员的姓名、年龄、从事相关工作经历等。维保项目组必须遵循BA系统设备的使用说明进行保养和维护，并制定相关维护计划，维护方案，定期提交检查报告。</w:t>
      </w:r>
    </w:p>
    <w:p>
      <w:pPr>
        <w:ind w:firstLine="600" w:firstLineChars="200"/>
        <w:rPr>
          <w:rFonts w:hint="eastAsia" w:ascii="仿宋_GB2312" w:eastAsia="仿宋_GB2312"/>
          <w:bCs/>
          <w:sz w:val="30"/>
          <w:szCs w:val="30"/>
        </w:rPr>
      </w:pPr>
      <w:r>
        <w:rPr>
          <w:rFonts w:hint="eastAsia" w:ascii="仿宋_GB2312" w:eastAsia="仿宋_GB2312"/>
          <w:bCs/>
          <w:sz w:val="30"/>
          <w:szCs w:val="30"/>
        </w:rPr>
        <w:t>5</w:t>
      </w:r>
      <w:r>
        <w:rPr>
          <w:rFonts w:ascii="仿宋_GB2312" w:eastAsia="仿宋_GB2312"/>
          <w:bCs/>
          <w:sz w:val="30"/>
          <w:szCs w:val="30"/>
        </w:rPr>
        <w:t>.</w:t>
      </w:r>
      <w:r>
        <w:rPr>
          <w:rFonts w:hint="eastAsia" w:ascii="仿宋_GB2312" w:eastAsia="仿宋_GB2312"/>
          <w:bCs/>
          <w:sz w:val="30"/>
          <w:szCs w:val="30"/>
        </w:rPr>
        <w:t>投标方需提供基于系统自动数据分析服务，并根据数据分析的结果提供系统故障诊断、问题推送、报警推送。其中可包含机组设备故障、空调温湿度超过阈值故障，设备运行、系统运行问题等等。当发生报警或出现问题时通过微信公众号自动推送至我院管理人员。</w:t>
      </w:r>
    </w:p>
    <w:p>
      <w:pPr>
        <w:ind w:firstLine="600" w:firstLineChars="200"/>
        <w:rPr>
          <w:rFonts w:hint="eastAsia" w:ascii="仿宋_GB2312" w:eastAsia="仿宋_GB2312"/>
          <w:sz w:val="30"/>
          <w:szCs w:val="30"/>
        </w:rPr>
      </w:pPr>
      <w:r>
        <w:rPr>
          <w:rFonts w:hint="eastAsia" w:ascii="仿宋_GB2312" w:eastAsia="仿宋_GB2312"/>
          <w:sz w:val="30"/>
          <w:szCs w:val="30"/>
        </w:rPr>
        <w:t>6</w:t>
      </w:r>
      <w:r>
        <w:rPr>
          <w:rFonts w:ascii="仿宋_GB2312" w:eastAsia="仿宋_GB2312"/>
          <w:sz w:val="30"/>
          <w:szCs w:val="30"/>
        </w:rPr>
        <w:t>.</w:t>
      </w:r>
      <w:r>
        <w:rPr>
          <w:rFonts w:hint="eastAsia" w:ascii="仿宋_GB2312" w:eastAsia="仿宋_GB2312"/>
          <w:sz w:val="30"/>
          <w:szCs w:val="30"/>
        </w:rPr>
        <w:t>投标方应提供24小时在线远程维保服务，网络设备由投标方提供，当出现故障问题或操作问题时，及时通过远程协助的方式帮助管理人员解决系统问题与故障。</w:t>
      </w:r>
    </w:p>
    <w:p>
      <w:pPr>
        <w:ind w:firstLine="600" w:firstLineChars="200"/>
        <w:rPr>
          <w:rFonts w:hint="eastAsia" w:ascii="仿宋_GB2312" w:eastAsia="仿宋_GB2312"/>
          <w:sz w:val="30"/>
          <w:szCs w:val="30"/>
        </w:rPr>
      </w:pPr>
      <w:r>
        <w:rPr>
          <w:rFonts w:hint="eastAsia" w:ascii="仿宋_GB2312" w:eastAsia="仿宋_GB2312"/>
          <w:sz w:val="30"/>
          <w:szCs w:val="30"/>
        </w:rPr>
        <w:t>7</w:t>
      </w:r>
      <w:r>
        <w:rPr>
          <w:rFonts w:ascii="仿宋_GB2312" w:eastAsia="仿宋_GB2312"/>
          <w:sz w:val="30"/>
          <w:szCs w:val="30"/>
        </w:rPr>
        <w:t>.</w:t>
      </w:r>
      <w:r>
        <w:rPr>
          <w:rFonts w:hint="eastAsia" w:ascii="仿宋_GB2312" w:eastAsia="仿宋_GB2312"/>
          <w:sz w:val="30"/>
          <w:szCs w:val="30"/>
        </w:rPr>
        <w:t>在BA设备维修、保养过程中，投标方维修保养人员必须遵循本院相关设备管理规范及制度，如果因投标方维修保养人员违规操作或未遵循规范制度造成的事故和意外由投标方承担责任和后果；事故或意外给我院造成相关损失的，由投标方负责赔偿。</w:t>
      </w:r>
    </w:p>
    <w:p>
      <w:pPr>
        <w:ind w:firstLine="600" w:firstLineChars="200"/>
        <w:rPr>
          <w:rFonts w:hint="eastAsia" w:ascii="仿宋_GB2312" w:eastAsia="仿宋_GB2312"/>
          <w:sz w:val="30"/>
          <w:szCs w:val="30"/>
        </w:rPr>
      </w:pPr>
      <w:r>
        <w:rPr>
          <w:rFonts w:hint="eastAsia" w:ascii="仿宋_GB2312" w:eastAsia="仿宋_GB2312"/>
          <w:sz w:val="30"/>
          <w:szCs w:val="30"/>
        </w:rPr>
        <w:t>8</w:t>
      </w:r>
      <w:r>
        <w:rPr>
          <w:rFonts w:ascii="仿宋_GB2312" w:eastAsia="仿宋_GB2312"/>
          <w:sz w:val="30"/>
          <w:szCs w:val="30"/>
        </w:rPr>
        <w:t>.</w:t>
      </w:r>
      <w:r>
        <w:rPr>
          <w:rFonts w:hint="eastAsia" w:ascii="仿宋_GB2312" w:eastAsia="仿宋_GB2312"/>
          <w:sz w:val="30"/>
          <w:szCs w:val="30"/>
        </w:rPr>
        <w:t>维保质量标准参照国家和上海市现行相关行业的施工验收规范和评定标准，维保质量等级达到合格，满足相关政府部门、行业及质量管理所需的检验要求。</w:t>
      </w:r>
    </w:p>
    <w:p>
      <w:pPr>
        <w:ind w:firstLine="600" w:firstLineChars="200"/>
        <w:rPr>
          <w:rFonts w:hint="eastAsia" w:ascii="仿宋_GB2312" w:eastAsia="仿宋_GB2312"/>
          <w:sz w:val="30"/>
          <w:szCs w:val="30"/>
        </w:rPr>
      </w:pPr>
      <w:r>
        <w:rPr>
          <w:rFonts w:hint="eastAsia" w:ascii="仿宋_GB2312" w:eastAsia="仿宋_GB2312"/>
          <w:sz w:val="30"/>
          <w:szCs w:val="30"/>
        </w:rPr>
        <w:t>9</w:t>
      </w:r>
      <w:r>
        <w:rPr>
          <w:rFonts w:ascii="仿宋_GB2312" w:eastAsia="仿宋_GB2312"/>
          <w:sz w:val="30"/>
          <w:szCs w:val="30"/>
        </w:rPr>
        <w:t>.</w:t>
      </w:r>
      <w:r>
        <w:rPr>
          <w:rFonts w:hint="eastAsia" w:ascii="仿宋_GB2312" w:eastAsia="仿宋_GB2312"/>
          <w:sz w:val="30"/>
          <w:szCs w:val="30"/>
        </w:rPr>
        <w:t>实施主要以月度、季度和年度为周期实施维护保养，投标方应严格按照规范定期组织设备例行检查，出现故障问题后及时响应报修，发现问题尽快解决。</w:t>
      </w:r>
    </w:p>
    <w:p>
      <w:pPr>
        <w:ind w:firstLine="600" w:firstLineChars="200"/>
        <w:rPr>
          <w:rFonts w:hint="eastAsia" w:ascii="仿宋_GB2312" w:eastAsia="仿宋_GB2312"/>
          <w:sz w:val="30"/>
          <w:szCs w:val="30"/>
        </w:rPr>
      </w:pPr>
      <w:r>
        <w:rPr>
          <w:rFonts w:hint="eastAsia" w:ascii="仿宋_GB2312" w:eastAsia="仿宋_GB2312"/>
          <w:sz w:val="30"/>
          <w:szCs w:val="30"/>
        </w:rPr>
        <w:t>1</w:t>
      </w:r>
      <w:r>
        <w:rPr>
          <w:rFonts w:ascii="仿宋_GB2312" w:eastAsia="仿宋_GB2312"/>
          <w:sz w:val="30"/>
          <w:szCs w:val="30"/>
        </w:rPr>
        <w:t>0.</w:t>
      </w:r>
      <w:r>
        <w:rPr>
          <w:rFonts w:hint="eastAsia" w:ascii="仿宋_GB2312" w:eastAsia="仿宋_GB2312"/>
          <w:sz w:val="30"/>
          <w:szCs w:val="30"/>
        </w:rPr>
        <w:t>投标方需提供本院的BA系统内常用备品备件清单，且提供的设备与产品不得高于市场价格，发生需更换设备的情况时由我院自行采购或向投标方采购。投标方所提供的设备及配件必须附带产品质量合格证等资料，投标方提供免费安装和调试，所更换的设备质保期为一年。</w:t>
      </w: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7864E7-FCCD-4071-B39E-81CFC042D2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21A0AE1-CD0B-4B25-9476-D09AEA4964B4}"/>
  </w:font>
  <w:font w:name="方正小标宋简体">
    <w:panose1 w:val="02000000000000000000"/>
    <w:charset w:val="86"/>
    <w:family w:val="script"/>
    <w:pitch w:val="default"/>
    <w:sig w:usb0="00000001" w:usb1="080E0000" w:usb2="00000000" w:usb3="00000000" w:csb0="00040000" w:csb1="00000000"/>
    <w:embedRegular r:id="rId3" w:fontKey="{2B365C43-6977-4D79-BF1F-8419881A9A93}"/>
  </w:font>
  <w:font w:name="仿宋_GB2312">
    <w:panose1 w:val="02010609030101010101"/>
    <w:charset w:val="86"/>
    <w:family w:val="modern"/>
    <w:pitch w:val="default"/>
    <w:sig w:usb0="00000001" w:usb1="080E0000" w:usb2="00000000" w:usb3="00000000" w:csb0="00040000" w:csb1="00000000"/>
    <w:embedRegular r:id="rId4" w:fontKey="{8A63CC09-3393-4FD9-8203-60745BB86CD4}"/>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93184"/>
    <w:multiLevelType w:val="multilevel"/>
    <w:tmpl w:val="57A931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ZTgyZDNjNzY2ZWJlYTM2Mjg0MTQ4Njk1ODhiMjEifQ=="/>
  </w:docVars>
  <w:rsids>
    <w:rsidRoot w:val="00D76CEA"/>
    <w:rsid w:val="007F39B6"/>
    <w:rsid w:val="00A8292F"/>
    <w:rsid w:val="00AE7235"/>
    <w:rsid w:val="00D76CEA"/>
    <w:rsid w:val="00F31018"/>
    <w:rsid w:val="15FA34BB"/>
    <w:rsid w:val="1ACD1FC4"/>
    <w:rsid w:val="37F3359D"/>
    <w:rsid w:val="65D8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5359</Words>
  <Characters>5736</Characters>
  <Lines>11</Lines>
  <Paragraphs>3</Paragraphs>
  <TotalTime>0</TotalTime>
  <ScaleCrop>false</ScaleCrop>
  <LinksUpToDate>false</LinksUpToDate>
  <CharactersWithSpaces>5742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2022-08-04T00:44:00Z</dcterms:created>
  <dc:creator>CUI Jer</dc:creator>
  <cp:lastModifiedBy>Liu</cp:lastModifiedBy>
  <dcterms:modified xsi:type="dcterms:W3CDTF">2022-09-30T02:06:20Z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4AFE9DE60B814DBD8DF380662DC31615</vt:lpwstr>
  </property>
</Properties>
</file>