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宋体" w:eastAsia="方正小标宋简体"/>
          <w:bCs/>
          <w:sz w:val="44"/>
          <w:szCs w:val="44"/>
        </w:rPr>
        <w:t>荧光定量P</w:t>
      </w:r>
      <w:r>
        <w:rPr>
          <w:rFonts w:ascii="方正小标宋简体" w:hAnsi="宋体" w:eastAsia="方正小标宋简体"/>
          <w:bCs/>
          <w:sz w:val="44"/>
          <w:szCs w:val="44"/>
        </w:rPr>
        <w:t>CR</w:t>
      </w:r>
      <w:r>
        <w:rPr>
          <w:rFonts w:hint="eastAsia" w:ascii="方正小标宋简体" w:hAnsi="宋体" w:eastAsia="方正小标宋简体"/>
          <w:bCs/>
          <w:sz w:val="44"/>
          <w:szCs w:val="44"/>
        </w:rPr>
        <w:t>仪</w:t>
      </w:r>
      <w:r>
        <w:rPr>
          <w:rFonts w:hint="eastAsia" w:ascii="方正小标宋简体" w:hAnsi="宋体" w:eastAsia="方正小标宋简体"/>
          <w:bCs/>
          <w:sz w:val="44"/>
          <w:szCs w:val="44"/>
          <w:lang w:val="en-US" w:eastAsia="zh-CN"/>
        </w:rPr>
        <w:t>项目</w:t>
      </w:r>
      <w:r>
        <w:rPr>
          <w:rFonts w:hint="eastAsia" w:ascii="方正小标宋简体" w:hAnsi="方正小标宋简体" w:eastAsia="方正小标宋简体" w:cs="方正小标宋简体"/>
          <w:b/>
          <w:sz w:val="44"/>
          <w:szCs w:val="44"/>
        </w:rPr>
        <w:t>技术参数</w:t>
      </w:r>
      <w:r>
        <w:rPr>
          <w:rFonts w:hint="eastAsia" w:ascii="方正小标宋简体" w:hAnsi="方正小标宋简体" w:eastAsia="方正小标宋简体" w:cs="方正小标宋简体"/>
          <w:b/>
          <w:sz w:val="44"/>
          <w:szCs w:val="44"/>
          <w:lang w:val="en-US" w:eastAsia="zh-CN"/>
        </w:rPr>
        <w:t>标准和服务要求</w:t>
      </w:r>
    </w:p>
    <w:p>
      <w:pPr>
        <w:spacing w:line="540" w:lineRule="exact"/>
        <w:ind w:firstLine="640" w:firstLineChars="200"/>
        <w:jc w:val="left"/>
        <w:rPr>
          <w:rFonts w:ascii="黑体" w:hAnsi="黑体" w:eastAsia="黑体"/>
          <w:sz w:val="32"/>
          <w:szCs w:val="32"/>
        </w:rPr>
      </w:pPr>
      <w:r>
        <w:rPr>
          <w:rFonts w:hint="eastAsia" w:ascii="黑体" w:hAnsi="黑体" w:eastAsia="黑体"/>
          <w:sz w:val="32"/>
          <w:szCs w:val="32"/>
        </w:rPr>
        <w:t>一、技术标准</w:t>
      </w:r>
    </w:p>
    <w:p>
      <w:pPr>
        <w:spacing w:line="540" w:lineRule="exact"/>
        <w:ind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（一）具体技术指标要求</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热循环系统：珀耳帖效应系统</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通道数：4色激发光通道和4色检测光通道，可同时检测4种不同的荧光，能同时区分VIC荧光和TAMRA荧光，以用于基因拷贝数(CNV)检测</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模块规格：标准96孔模块、快速96孔模块，2种模块选其一</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反应体积</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标准96孔模块：10-100 μL</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快速96孔模块：10-30 μL</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支持耗材</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标准96孔模块：支持96孔 (0.2 mL) 反应板与光学盖膜，0.2 mL八连管，0.2mL单管</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快速96孔模块：支持96孔 (0.1 mL) 反应板与光学盖膜，0.1 mL八连管，0.1mL单管</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温控模块最高升温速率：6.5°C秒</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VeriFlex精确数码温控模块：标准96孔模块和快速96孔模块都支持3个独立的精确数码温控区域，各区域温度可单独控制，退火温度可随意设定，而非随机生成</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温控范围：4°C-100°C</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温度精确度：±0.25°C</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温度一致性：±0.40°C</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光学系统：高亮度白光半导体光源(工作寿命5年)</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检测器：CCD同步收集荧光信号，确保检测灵敏度和分别率（在单重反应中可区分1.5倍的拷贝数差异）</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支持的荧光染料：FAMSYBR Green, VICJOEHEXTET, ABYNEDTAMRACy3, JUN, ROXTexas Red染料</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光学激发检测范围：450-600 nm500-640 nm</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被动参照染料：软件支持Rox荧光校正去除移液误差和孔间效应差</w:t>
      </w:r>
      <w:bookmarkStart w:id="0" w:name="_GoBack"/>
      <w:bookmarkEnd w:id="0"/>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 数据同时采集：所有反应孔同时采集荧光数据，不同孔之间不存在时间差</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 内置触摸屏电脑：自带存储10GB(相当于2000-2500运行文件)；仪器触摸屏提供了一键式的实验方案，可快速地设置多种应用。</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 云服务平台：提供Thermo Fisher云服务平台</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 数据通信接口：USB、Wi-Fi或Thermo Fisher云服务平台</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 国家标准：ISO 13485</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电路标准证书：IEC，CE</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外围设备：二维码阅读器（通过USB连接）</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二、已验证性能指标</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动态范围：10个对数的线性动态范围</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检测灵敏度：单拷贝检测反应体系</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精密度：最低可分辨1.5倍拷贝数差异，置信度99.7% </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运行时间：最快少于30分钟40个循环反应</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三、软件支持应用</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基于标准曲线的绝对定量 Standard curve (absolute quantitation)</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相对标准曲线 Relative standard curve</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基于比较Ct值的相对定量 Comparative Ct (relative quantitation)</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免费内置基因表达 (RQ) 相对定量分析功能，可同时分析100块板的实验数据，并用热点图和散点图提供数据质量的快速检查。</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实时监控基因分型聚类分析：在基因分型实验中，能利用实时荧光定量PCR进程监控器优化基因分型运行程序设这，以确定聚类分析的理想循环。</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融解曲线分析 Melt curve analysis (as a standalone application)</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存在不存在 PresenceAbsence (Plusminus)</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基于或非基于实时扩增的基因分型 Genotyping (with or without real-time amplification)</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基于荧光定量PCR的蛋白表达分析功能，并提供同品牌原厂试剂和专门分析软件</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基于荧光定量PCR的Non-coding RNA和microRNA分析，并提供同品牌原厂试剂和专门分析软件</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基于荧光定量PCR的基因拷贝数（CNV）分析，并提供同品牌原厂试剂和专门分析软件</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基于荧光定量PCR的肿瘤稀有突变分析，可检测占背景野生型细胞0.1%的微量突变细胞或DNA，并提供同品牌原厂试剂和专门分析软件</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四、软件主要特点</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分析软件登陆途径：原厂配套的Windows 7系统的电脑上运行</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程序运行：可执行预先优化的程序或客户自己设计程序；可预设实验暂停程序或者手动暂停</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中文软件：具备</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21FR Part 11要求的标准：符合</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单块反应板分析：绝对和相对定量，基因表达分析，基因分型分析，阴阳性鉴定，高分辨率溶解度曲线分析</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多块反应板分析：基因表达分析，基因分型分析</w:t>
      </w:r>
    </w:p>
    <w:p>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附带Primer Express引物与探针设计软件</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（二）样品要求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（三）实施人员要求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（四）生产及安装调试等要求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合同签订后14个工作日内，中标方向买方提供设备安置场地建议书，明确设备安装必须的环境条件，以便买方准备安置场地。</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在预计送达货物到采购地点时，提前通知采购方，并派专业人员到安装现场进行详细考察，在完全了解现场状况及环境要求下便于更好、更快的进行安装。</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到场后，双方现场开箱验收，若有货物短缺或与合同规定的质量、规格、数量不符，应及时给予补齐或更换。由此发生的一切费用由中标方承担。如货物与合同规定严重不符，买方有权拒收或索赔由此造成的一切损失。</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货物的安装，设备到货一周内，组织一支具备相关的专业知识、技术水平、相应资历和能力，并熟悉此批货物规格、技术指标及安装工艺，有足够能力安装调试此批货物的专业素质人才进行免费安装和负责调试工作。</w:t>
      </w:r>
    </w:p>
    <w:p>
      <w:pPr>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二、服务要求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（一）售后质保培训等要求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（整机质保一年，</w:t>
      </w:r>
      <w:r>
        <w:rPr>
          <w:rFonts w:hint="eastAsia" w:ascii="仿宋_GB2312" w:hAnsi="仿宋_GB2312" w:eastAsia="仿宋_GB2312" w:cs="仿宋_GB2312"/>
          <w:sz w:val="32"/>
          <w:szCs w:val="32"/>
          <w:lang w:val="zh-CN"/>
        </w:rPr>
        <w:t>对售后服务需求提供 4 小时响应， 24 小时内到达现场实施维修。48小时仍未排除故障、恢复正常运转的，由投标供应商提供</w:t>
      </w:r>
      <w:r>
        <w:rPr>
          <w:rFonts w:hint="eastAsia" w:ascii="仿宋_GB2312" w:hAnsi="仿宋_GB2312" w:eastAsia="仿宋_GB2312" w:cs="仿宋_GB2312"/>
          <w:sz w:val="32"/>
          <w:szCs w:val="32"/>
        </w:rPr>
        <w:t>解决方案）</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（二）保密要求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甲、乙双方在采购和履行合同过程中所获悉的对方属于保密的内容，甲乙双方均有保密义务。</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（三）报价要求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（四）其他项目个性化要求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（五）供货、安装周期及交货地点要求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1.合同生效后，中标方在14个工作日内完成安装及调试。</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2.中标方提供设备的各项技术性能指标必须达到合同和技术文件规定的要求。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3.交货地点：上海长征医院指定地点。</w:t>
      </w:r>
    </w:p>
    <w:p>
      <w:pPr>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三、投标（报价）人资质要求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军队物资工程服务供应商管理规定》（军后采〔2016〕512号）和项目实际确定，不得设置排他性条款。军委机关已下发全军标准文本的，应严格执行全军标准文本，不得进行修改。确有特殊资质要求的，应另行说明。</w:t>
      </w:r>
    </w:p>
    <w:p>
      <w:pPr>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四、验收、付款及其他内容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（一）验收方式</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根据实际明确标的物验收方式。</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（二）付款方式</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第一阶段，合同乙方达到货物安装调试合格，提交资产通知单、数额相等的发票结算资料，采购单位支付30%货款；第二阶段，合同乙方达到验收合格之日起正常使用3个月，提交数额相等的发票等结算资料，采购单位支付60%货款；第三阶段，合同乙方达到自验收合格之日起正常使用1年，提交数额相等的发票结算资料，采购单位支付10%货款</w:t>
      </w:r>
      <w:r>
        <w:rPr>
          <w:rFonts w:hint="eastAsia" w:ascii="仿宋_GB2312" w:hAnsi="仿宋_GB2312" w:eastAsia="仿宋_GB2312" w:cs="仿宋_GB2312"/>
          <w:sz w:val="32"/>
          <w:szCs w:val="32"/>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（三）现场踏勘等信息</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（四）其他信息</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jc w:val="left"/>
        <w:rPr>
          <w:rFonts w:hint="eastAsia" w:ascii="方正小标宋简体" w:hAnsi="方正小标宋简体" w:eastAsia="方正小标宋简体" w:cs="方正小标宋简体"/>
          <w:b/>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YzFiZjM0ZjQ1MDg2NDRlZmZiMzJlOGU2NzBhODkifQ=="/>
  </w:docVars>
  <w:rsids>
    <w:rsidRoot w:val="68763287"/>
    <w:rsid w:val="6876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First Indent 2"/>
    <w:basedOn w:val="4"/>
    <w:qFormat/>
    <w:uiPriority w:val="0"/>
    <w:pPr>
      <w:ind w:left="0" w:leftChars="0" w:firstLine="420" w:firstLineChars="200"/>
    </w:pPr>
  </w:style>
  <w:style w:type="paragraph" w:styleId="4">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127</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2022-09-22T00:08:00Z</dcterms:created>
  <dc:creator>WPS_1662512269</dc:creator>
  <cp:lastModifiedBy>WPS_1662512269</cp:lastModifiedBy>
  <cp:lastPrinted>2022-09-22T00:37:42Z</cp:lastPrinted>
  <dcterms:modified xsi:type="dcterms:W3CDTF">2022-09-26T02:41:29Z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7DB871A3FBB041DFA67ADE69B562B160</vt:lpwstr>
  </property>
</Properties>
</file>