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default"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b/>
          <w:color w:val="000000"/>
          <w:kern w:val="0"/>
          <w:sz w:val="44"/>
          <w:szCs w:val="44"/>
        </w:rPr>
        <w:t>甲乳疝外科腹腔镜维修升级</w:t>
      </w:r>
      <w:r>
        <w:rPr>
          <w:rFonts w:hint="eastAsia" w:ascii="方正小标宋简体" w:hAnsi="方正小标宋简体" w:eastAsia="方正小标宋简体" w:cs="方正小标宋简体"/>
          <w:b/>
          <w:color w:val="000000"/>
          <w:kern w:val="0"/>
          <w:sz w:val="44"/>
          <w:szCs w:val="44"/>
          <w:lang w:val="en-US" w:eastAsia="zh-CN"/>
        </w:rPr>
        <w:t>项目参数要求</w:t>
      </w:r>
    </w:p>
    <w:p>
      <w:pPr>
        <w:widowControl/>
        <w:spacing w:line="360" w:lineRule="auto"/>
        <w:jc w:val="both"/>
        <w:rPr>
          <w:rFonts w:hint="eastAsia" w:ascii="仿宋_GB2312" w:hAnsi="仿宋_GB2312" w:eastAsia="仿宋_GB2312" w:cs="仿宋_GB2312"/>
          <w:color w:val="000000"/>
          <w:kern w:val="0"/>
          <w:sz w:val="28"/>
          <w:szCs w:val="28"/>
        </w:rPr>
      </w:pPr>
      <w:bookmarkStart w:id="0" w:name="_GoBack"/>
      <w:r>
        <w:rPr>
          <w:rFonts w:hint="eastAsia" w:ascii="仿宋_GB2312" w:hAnsi="仿宋_GB2312" w:eastAsia="仿宋_GB2312" w:cs="仿宋_GB2312"/>
          <w:color w:val="000000"/>
          <w:kern w:val="0"/>
          <w:sz w:val="28"/>
          <w:szCs w:val="28"/>
        </w:rPr>
        <w:t>1.项目名称： 腹腔镜；</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 设备型号：1288010000；</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  保修台件数：1；</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 保修类型：全保；</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 保修年限：一年；</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 投标人资质要求：经营范围必须包含技术服务项目，营业执照须经年检有效。不得转包、分包或由组织外散在的无约束保障的人员参与；</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 ★投标人应为原厂或者具备本项目原厂唯一授权；</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 提供ISO质量体系认证；</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 设备开机率：不得低于95%（含节假日，若不能达到规定开机天数，按超出部分两倍顺延保修期，一年365天，按自然日计算）；</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 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11.维修时限：报修后12小时内完成小故障维修（全年，包括节假日），报修后72小时内完成大故障维修（全年，包括节假日）；</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 维护保养：中标人应根据设备运行状况提供每年≥4次定期预防性维护，必须至少含一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13.上海地区设有专门的零配件仓库，配件供应有保障，提供场地租赁证明，附配件仓库照片；</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 ★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 ★上海地区设有稳定的常驻服务机构（人员），具有专业维修资质的工程师，需提供原厂同类型产品培训证书或资质文件；</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16.维修工程师保证能够解决所有需要原厂service key才能解决的设备故障，提供负责此项目的工程师姓名，并具有原厂厂家的出具的有效期内的培训证；</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17.具备专门检测和维修的设备和工具；</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18.在合同期内，根据医院要求，对设备的清洗、保养和常见故障等问题按需进行院内培训；</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19.服务支持机构</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19.1.具有客户服务电话支持热线；</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19.2.热线支持服务时间、技术支持工程师每周服务时间：24小时×7天（含节假日）；</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19.3.客户服务中心热线服务人员：每天值班人员≥1人；</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19.4.客户服务中心技术支持：专职热线支持工程师≥3人；</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20.应用服务支持</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20.1.应用服务支持中心具备电话支持热线；</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20.2.上海地区应用服务团队：≥3人，提供人员名单及原厂培训证书或资质文件；</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 服务范围还应包括但不局限于：</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21.1安全检查：按照设备厂家标准及相关规定执行，具体包括：指定检查计划、机械安全检查、电气安全检查、记录检查结果；</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 安全升级：持续监控设备是否需要升级、提供安全性升级、提供建议性升级、记录升级程序；</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21.3质量保证：通过指定检查计划、图像质量（效果）检查、评判参数结果、记录检查结果等任务和工作以保证设备质量达到质量标准；</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22.中标人员在维修期间的往返费用由中标人自理。中标人在系统故障维修过程中不再另外收取其他费用，包括所有零配件费用、人工费，配件运输费，安装调试费、及系统软件升级等费用；</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  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pPr>
        <w:widowControl/>
        <w:spacing w:line="360" w:lineRule="auto"/>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24.保修期限一年，如遇到机器在此时间发生报废处理，双方可解除合同并终止服务，维修费用按服务时间比例结算。</w:t>
      </w:r>
    </w:p>
    <w:p>
      <w:pPr>
        <w:widowControl/>
        <w:spacing w:line="360" w:lineRule="auto"/>
        <w:jc w:val="both"/>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25.全数字化超高清摄像系统 维修要求：</w:t>
      </w:r>
    </w:p>
    <w:p>
      <w:pPr>
        <w:widowControl/>
        <w:spacing w:line="360" w:lineRule="auto"/>
        <w:jc w:val="both"/>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25.1.</w:t>
      </w:r>
      <w:r>
        <w:rPr>
          <w:rFonts w:hint="eastAsia" w:ascii="仿宋_GB2312" w:hAnsi="仿宋_GB2312" w:eastAsia="仿宋_GB2312" w:cs="仿宋_GB2312"/>
          <w:kern w:val="0"/>
          <w:sz w:val="28"/>
          <w:szCs w:val="28"/>
        </w:rPr>
        <w:t>高清晰度摄像系统分辨率为1920*1080P，视频输出可在三种模式分辨率间切换：1280 × 1024 (HD)、720p、1080p（HDTV）格式；</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25.2.1/3”  三晶片CMOS传感器；</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25.3.视频信号输出≥2种； DVI x 2（数字视频接口）、S-Video；各种信号输出正常；</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25.4.视频输出DVI接口≥2个；</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25.5.内置菜单含红增益/红偏色，蓝增益/蓝偏色参数调节，优化色彩偏好设置等达到正常；</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25.6. 主机触摸屏恢复正常；</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25.7. 主机液晶操控界面含中文操作菜单恢复正常；</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25.8.★能够达到不同腔体环境，配置色彩、亮度等参数达到正常，预设专业手术模式达到≥9种，包括关节镜，膀胱镜，耳鼻喉镜，柔性内窥镜，宫腔镜，腹腔镜，显微镜，激光，标准等；</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25.9. 摄像头遥控按键编程功能 达到≥ 14种，包括白平衡；图像的放大，缩小；循环数字变焦；亮度增大，减小；术野拍照及摄像功能；设备控制等；</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25.10.摄像头控制按键可达到≥4 个，可在主机菜单中进行自定义设置其遥控功能；</w:t>
      </w:r>
    </w:p>
    <w:p>
      <w:pPr>
        <w:widowControl/>
        <w:spacing w:line="360" w:lineRule="auto"/>
        <w:jc w:val="both"/>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26.高清医用监视器维修要求：</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26.1.26英寸LED屏幕；</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26.2. 能够达到可按偏好设置画面的RGB、Gamma、亮度、对比度等参数的功能；</w:t>
      </w:r>
    </w:p>
    <w:p>
      <w:pPr>
        <w:widowControl/>
        <w:spacing w:line="360" w:lineRule="auto"/>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26.3.  图像输入输出能够达到具有S-VIDEO、RGB、模拟信号及VGA、HD-SDI、DVI等数字接口功能；</w:t>
      </w:r>
    </w:p>
    <w:p>
      <w:pPr>
        <w:jc w:val="both"/>
        <w:rPr>
          <w:rFonts w:hint="eastAsia" w:ascii="仿宋_GB2312" w:hAnsi="仿宋_GB2312" w:eastAsia="仿宋_GB2312" w:cs="仿宋_GB2312"/>
        </w:rPr>
      </w:pPr>
      <w:r>
        <w:rPr>
          <w:rFonts w:hint="eastAsia" w:ascii="仿宋_GB2312" w:hAnsi="仿宋_GB2312" w:eastAsia="仿宋_GB2312" w:cs="仿宋_GB2312"/>
          <w:kern w:val="0"/>
          <w:sz w:val="28"/>
          <w:szCs w:val="28"/>
        </w:rPr>
        <w:t>27.必须达到以上参数要求</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83654C05-0C64-4351-A01D-6319F330DF1E}"/>
  </w:font>
  <w:font w:name="仿宋_GB2312">
    <w:panose1 w:val="02010609030101010101"/>
    <w:charset w:val="86"/>
    <w:family w:val="auto"/>
    <w:pitch w:val="default"/>
    <w:sig w:usb0="00000001" w:usb1="080E0000" w:usb2="00000000" w:usb3="00000000" w:csb0="00040000" w:csb1="00000000"/>
    <w:embedRegular r:id="rId2" w:fontKey="{CD9F8A7C-226E-4E02-8E98-23515EC6214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75786B00"/>
    <w:rsid w:val="41B720CB"/>
    <w:rsid w:val="56614849"/>
    <w:rsid w:val="7578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tLeast"/>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1990</Words>
  <Characters>2219</Characters>
  <Lines>0</Lines>
  <Paragraphs>0</Paragraphs>
  <TotalTime>15</TotalTime>
  <ScaleCrop>false</ScaleCrop>
  <LinksUpToDate>false</LinksUpToDate>
  <CharactersWithSpaces>2256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2023-01-10T00:16:00Z</dcterms:created>
  <dc:creator>Liu</dc:creator>
  <cp:lastModifiedBy>Liu</cp:lastModifiedBy>
  <cp:lastPrinted>2023-01-10T00:35:03Z</cp:lastPrinted>
  <dcterms:modified xsi:type="dcterms:W3CDTF">2023-01-10T07:19:50Z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39397DE4BDC5419EBB1FEC6368E07E71</vt:lpwstr>
  </property>
</Properties>
</file>