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eastAsia="zh-CN"/>
        </w:rPr>
      </w:pPr>
      <w:bookmarkStart w:id="0" w:name="_Toc285612596"/>
      <w:r>
        <w:rPr>
          <w:rFonts w:hint="eastAsia"/>
          <w:lang w:eastAsia="zh-CN"/>
        </w:rPr>
        <w:t>技术参数</w:t>
      </w:r>
    </w:p>
    <w:p>
      <w:pPr>
        <w:pStyle w:val="17"/>
        <w:widowControl w:val="0"/>
        <w:autoSpaceDE w:val="0"/>
        <w:autoSpaceDN w:val="0"/>
        <w:adjustRightInd w:val="0"/>
        <w:spacing w:line="560" w:lineRule="exact"/>
        <w:ind w:left="0" w:leftChars="0" w:firstLine="840" w:firstLineChars="300"/>
        <w:jc w:val="both"/>
        <w:rPr>
          <w:rFonts w:ascii="Times New Roman" w:hAnsi="Times New Roman" w:eastAsia="黑体"/>
          <w:color w:val="auto"/>
          <w:sz w:val="28"/>
          <w:szCs w:val="28"/>
          <w:highlight w:val="none"/>
          <w:lang w:eastAsia="zh-CN"/>
        </w:rPr>
      </w:pPr>
      <w:bookmarkStart w:id="1" w:name="_GoBack"/>
      <w:bookmarkEnd w:id="1"/>
      <w:r>
        <w:rPr>
          <w:rFonts w:hint="eastAsia" w:ascii="Times New Roman" w:hAnsi="Times New Roman" w:eastAsia="黑体"/>
          <w:color w:val="auto"/>
          <w:sz w:val="28"/>
          <w:szCs w:val="28"/>
          <w:highlight w:val="none"/>
          <w:lang w:eastAsia="zh-CN"/>
        </w:rPr>
        <w:t>一、货物一览表</w:t>
      </w:r>
    </w:p>
    <w:bookmarkEnd w:id="0"/>
    <w:p>
      <w:pPr>
        <w:pStyle w:val="9"/>
        <w:rPr>
          <w:rFonts w:hint="eastAsia"/>
        </w:rPr>
      </w:pP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9"/>
        <w:gridCol w:w="2587"/>
        <w:gridCol w:w="1791"/>
        <w:gridCol w:w="941"/>
        <w:gridCol w:w="16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</w:trPr>
        <w:tc>
          <w:tcPr>
            <w:tcW w:w="104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4"/>
                <w:szCs w:val="24"/>
                <w:lang w:val="en-US" w:eastAsia="zh-CN" w:bidi="ar-SA"/>
              </w:rPr>
              <w:t>序号</w:t>
            </w:r>
          </w:p>
        </w:tc>
        <w:tc>
          <w:tcPr>
            <w:tcW w:w="258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Style w:val="12"/>
                <w:rFonts w:hint="eastAsia" w:ascii="微软雅黑" w:hAnsi="微软雅黑" w:eastAsia="微软雅黑" w:cs="微软雅黑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4"/>
                <w:szCs w:val="24"/>
                <w:lang w:val="en-US" w:eastAsia="zh-CN" w:bidi="ar-SA"/>
              </w:rPr>
              <w:t>采购项目名称</w:t>
            </w:r>
          </w:p>
        </w:tc>
        <w:tc>
          <w:tcPr>
            <w:tcW w:w="179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Style w:val="12"/>
                <w:rFonts w:hint="eastAsia" w:ascii="微软雅黑" w:hAnsi="微软雅黑" w:eastAsia="微软雅黑" w:cs="微软雅黑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4"/>
                <w:szCs w:val="24"/>
                <w:lang w:val="en-US" w:eastAsia="zh-CN" w:bidi="ar-SA"/>
              </w:rPr>
              <w:t>规格要求</w:t>
            </w:r>
          </w:p>
        </w:tc>
        <w:tc>
          <w:tcPr>
            <w:tcW w:w="94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Style w:val="12"/>
                <w:rFonts w:hint="eastAsia" w:ascii="微软雅黑" w:hAnsi="微软雅黑" w:eastAsia="微软雅黑" w:cs="微软雅黑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4"/>
                <w:szCs w:val="24"/>
                <w:lang w:val="en-US" w:eastAsia="zh-CN" w:bidi="ar-SA"/>
              </w:rPr>
              <w:t>数量</w:t>
            </w:r>
          </w:p>
        </w:tc>
        <w:tc>
          <w:tcPr>
            <w:tcW w:w="16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4"/>
                <w:szCs w:val="24"/>
                <w:lang w:val="en-US" w:eastAsia="zh-CN" w:bidi="ar-SA"/>
              </w:rPr>
              <w:t>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</w:trPr>
        <w:tc>
          <w:tcPr>
            <w:tcW w:w="104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Style w:val="12"/>
                <w:rFonts w:hint="default" w:ascii="微软雅黑" w:hAnsi="微软雅黑" w:eastAsia="微软雅黑" w:cs="微软雅黑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2"/>
                <w:rFonts w:hint="eastAsia" w:ascii="微软雅黑" w:hAnsi="微软雅黑" w:eastAsia="微软雅黑" w:cs="微软雅黑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1</w:t>
            </w:r>
          </w:p>
        </w:tc>
        <w:tc>
          <w:tcPr>
            <w:tcW w:w="258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Style w:val="12"/>
                <w:rFonts w:hint="eastAsia" w:ascii="微软雅黑" w:hAnsi="微软雅黑" w:eastAsia="微软雅黑" w:cs="微软雅黑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2"/>
                <w:rFonts w:hint="eastAsia" w:ascii="微软雅黑" w:hAnsi="微软雅黑" w:eastAsia="微软雅黑" w:cs="微软雅黑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深度学习服务器采购</w:t>
            </w:r>
          </w:p>
        </w:tc>
        <w:tc>
          <w:tcPr>
            <w:tcW w:w="179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Style w:val="12"/>
                <w:rFonts w:hint="default" w:ascii="微软雅黑" w:hAnsi="微软雅黑" w:eastAsia="微软雅黑" w:cs="微软雅黑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2"/>
                <w:rFonts w:hint="eastAsia" w:ascii="微软雅黑" w:hAnsi="微软雅黑" w:eastAsia="微软雅黑" w:cs="微软雅黑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详见技术要求</w:t>
            </w:r>
          </w:p>
        </w:tc>
        <w:tc>
          <w:tcPr>
            <w:tcW w:w="94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Style w:val="12"/>
                <w:rFonts w:hint="default" w:ascii="微软雅黑" w:hAnsi="微软雅黑" w:eastAsia="微软雅黑" w:cs="微软雅黑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2"/>
                <w:rFonts w:hint="eastAsia" w:ascii="微软雅黑" w:hAnsi="微软雅黑" w:eastAsia="微软雅黑" w:cs="微软雅黑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1</w:t>
            </w:r>
          </w:p>
        </w:tc>
        <w:tc>
          <w:tcPr>
            <w:tcW w:w="163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Style w:val="12"/>
                <w:rFonts w:hint="default" w:ascii="微软雅黑" w:hAnsi="微软雅黑" w:eastAsia="微软雅黑" w:cs="微软雅黑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12"/>
                <w:rFonts w:hint="eastAsia" w:ascii="微软雅黑" w:hAnsi="微软雅黑" w:eastAsia="微软雅黑" w:cs="微软雅黑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台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说明：1、所采购产品为含税开票价格，并为一次性报价；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 xml:space="preserve">      2、所供产品规格及质量应达到国家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及军队</w:t>
      </w:r>
      <w:r>
        <w:rPr>
          <w:rFonts w:hint="eastAsia" w:ascii="微软雅黑" w:hAnsi="微软雅黑" w:eastAsia="微软雅黑" w:cs="微软雅黑"/>
          <w:sz w:val="24"/>
          <w:szCs w:val="24"/>
        </w:rPr>
        <w:t>标准；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 xml:space="preserve">      3、所供产品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需提供三年原厂质保服务、五年免费维保服务</w:t>
      </w:r>
      <w:r>
        <w:rPr>
          <w:rFonts w:hint="eastAsia" w:ascii="微软雅黑" w:hAnsi="微软雅黑" w:eastAsia="微软雅黑" w:cs="微软雅黑"/>
          <w:sz w:val="24"/>
          <w:szCs w:val="24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 xml:space="preserve">      4、付款方式：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硬件签收</w:t>
      </w:r>
      <w:r>
        <w:rPr>
          <w:rFonts w:hint="eastAsia" w:ascii="微软雅黑" w:hAnsi="微软雅黑" w:eastAsia="微软雅黑" w:cs="微软雅黑"/>
          <w:sz w:val="24"/>
          <w:szCs w:val="24"/>
        </w:rPr>
        <w:t>后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配合完成资产打码贴签后</w:t>
      </w:r>
      <w:r>
        <w:rPr>
          <w:rFonts w:hint="eastAsia" w:ascii="微软雅黑" w:hAnsi="微软雅黑" w:eastAsia="微软雅黑" w:cs="微软雅黑"/>
          <w:sz w:val="24"/>
          <w:szCs w:val="24"/>
        </w:rPr>
        <w:t>付款。</w:t>
      </w:r>
    </w:p>
    <w:p>
      <w:pPr>
        <w:spacing w:line="400" w:lineRule="exact"/>
        <w:jc w:val="both"/>
        <w:rPr>
          <w:rFonts w:hint="eastAsia" w:ascii="微软雅黑" w:hAnsi="微软雅黑" w:eastAsia="微软雅黑" w:cs="微软雅黑"/>
          <w:sz w:val="24"/>
          <w:szCs w:val="24"/>
          <w:u w:val="single"/>
          <w:lang w:val="en-US" w:eastAsia="zh-CN"/>
        </w:rPr>
      </w:pPr>
    </w:p>
    <w:p>
      <w:pPr>
        <w:pStyle w:val="17"/>
        <w:widowControl w:val="0"/>
        <w:numPr>
          <w:ilvl w:val="0"/>
          <w:numId w:val="0"/>
        </w:numPr>
        <w:autoSpaceDE w:val="0"/>
        <w:autoSpaceDN w:val="0"/>
        <w:adjustRightInd w:val="0"/>
        <w:spacing w:line="560" w:lineRule="exact"/>
        <w:ind w:firstLine="840" w:firstLineChars="300"/>
        <w:jc w:val="both"/>
        <w:rPr>
          <w:rFonts w:hint="eastAsia" w:ascii="Times New Roman" w:hAnsi="Times New Roman" w:eastAsia="黑体"/>
          <w:color w:val="auto"/>
          <w:sz w:val="28"/>
          <w:szCs w:val="28"/>
          <w:highlight w:val="none"/>
          <w:lang w:eastAsia="zh-CN"/>
        </w:rPr>
      </w:pPr>
      <w:r>
        <w:rPr>
          <w:rFonts w:hint="eastAsia" w:ascii="Times New Roman" w:hAnsi="Times New Roman" w:eastAsia="黑体"/>
          <w:color w:val="auto"/>
          <w:sz w:val="28"/>
          <w:szCs w:val="28"/>
          <w:highlight w:val="none"/>
          <w:lang w:eastAsia="zh-CN"/>
        </w:rPr>
        <w:t>二、技术要求</w:t>
      </w:r>
    </w:p>
    <w:tbl>
      <w:tblPr>
        <w:tblStyle w:val="19"/>
        <w:tblpPr w:leftFromText="180" w:rightFromText="180" w:vertAnchor="text" w:horzAnchor="page" w:tblpX="1224" w:tblpY="300"/>
        <w:tblOverlap w:val="never"/>
        <w:tblW w:w="9396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75"/>
        <w:gridCol w:w="7331"/>
        <w:gridCol w:w="1090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975" w:type="dxa"/>
            <w:tcBorders>
              <w:top w:val="single" w:color="000000" w:sz="4" w:space="0"/>
            </w:tcBorders>
          </w:tcPr>
          <w:p>
            <w:pPr>
              <w:pStyle w:val="18"/>
              <w:spacing w:before="77" w:line="196" w:lineRule="auto"/>
              <w:ind w:left="135" w:firstLine="150" w:firstLineChars="100"/>
            </w:pPr>
            <w:r>
              <w:rPr>
                <w:rFonts w:hint="eastAsia"/>
                <w:lang w:eastAsia="zh-CN"/>
              </w:rPr>
              <w:t>分项</w:t>
            </w:r>
          </w:p>
        </w:tc>
        <w:tc>
          <w:tcPr>
            <w:tcW w:w="7331" w:type="dxa"/>
            <w:tcBorders>
              <w:top w:val="single" w:color="000000" w:sz="4" w:space="0"/>
            </w:tcBorders>
          </w:tcPr>
          <w:p>
            <w:pPr>
              <w:pStyle w:val="18"/>
              <w:spacing w:before="83" w:line="173" w:lineRule="auto"/>
              <w:ind w:left="30"/>
            </w:pPr>
            <w:r>
              <w:rPr>
                <w:rFonts w:hint="eastAsia"/>
                <w:lang w:eastAsia="zh-CN"/>
              </w:rPr>
              <w:t>规格描述</w:t>
            </w:r>
          </w:p>
        </w:tc>
        <w:tc>
          <w:tcPr>
            <w:tcW w:w="1090" w:type="dxa"/>
            <w:tcBorders>
              <w:top w:val="single" w:color="000000" w:sz="4" w:space="0"/>
            </w:tcBorders>
          </w:tcPr>
          <w:p>
            <w:pPr>
              <w:pStyle w:val="18"/>
              <w:spacing w:before="83" w:line="173" w:lineRule="auto"/>
              <w:ind w:left="288"/>
            </w:pPr>
            <w:r>
              <w:rPr>
                <w:rFonts w:hint="eastAsia"/>
                <w:lang w:eastAsia="zh-CN"/>
              </w:rPr>
              <w:t>数量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</w:trPr>
        <w:tc>
          <w:tcPr>
            <w:tcW w:w="975" w:type="dxa"/>
          </w:tcPr>
          <w:p>
            <w:pPr>
              <w:pStyle w:val="18"/>
              <w:spacing w:before="82" w:line="195" w:lineRule="auto"/>
              <w:ind w:left="208"/>
            </w:pPr>
            <w:r>
              <w:t>处理器</w:t>
            </w:r>
          </w:p>
        </w:tc>
        <w:tc>
          <w:tcPr>
            <w:tcW w:w="7331" w:type="dxa"/>
          </w:tcPr>
          <w:p>
            <w:pPr>
              <w:pStyle w:val="18"/>
              <w:spacing w:before="83" w:line="190" w:lineRule="auto"/>
              <w:ind w:left="43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单颗</w:t>
            </w:r>
            <w:r>
              <w:rPr>
                <w:lang w:eastAsia="zh-CN"/>
              </w:rPr>
              <w:t>CPU</w:t>
            </w:r>
            <w:r>
              <w:rPr>
                <w:spacing w:val="5"/>
                <w:lang w:eastAsia="zh-CN"/>
              </w:rPr>
              <w:t xml:space="preserve"> </w:t>
            </w:r>
            <w:r>
              <w:rPr>
                <w:rFonts w:hint="eastAsia"/>
                <w:lang w:eastAsia="zh-CN"/>
              </w:rPr>
              <w:t>≥</w:t>
            </w:r>
            <w:r>
              <w:rPr>
                <w:lang w:eastAsia="zh-CN"/>
              </w:rPr>
              <w:t>2.9GHz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lang w:eastAsia="zh-CN"/>
              </w:rPr>
              <w:t xml:space="preserve">  16核</w:t>
            </w:r>
            <w:r>
              <w:rPr>
                <w:rFonts w:hint="eastAsia"/>
                <w:lang w:eastAsia="zh-CN"/>
              </w:rPr>
              <w:t xml:space="preserve"> </w:t>
            </w:r>
            <w:r>
              <w:rPr>
                <w:lang w:eastAsia="zh-CN"/>
              </w:rPr>
              <w:t>;</w:t>
            </w:r>
            <w:r>
              <w:rPr>
                <w:rFonts w:hint="eastAsia"/>
                <w:lang w:eastAsia="zh-CN"/>
              </w:rPr>
              <w:t xml:space="preserve"> ≥2</w:t>
            </w:r>
            <w:r>
              <w:rPr>
                <w:lang w:eastAsia="zh-CN"/>
              </w:rPr>
              <w:t>4M</w:t>
            </w:r>
            <w:r>
              <w:rPr>
                <w:rFonts w:hint="eastAsia"/>
                <w:lang w:eastAsia="zh-CN"/>
              </w:rPr>
              <w:t>三级缓存，支持</w:t>
            </w:r>
            <w:r>
              <w:rPr>
                <w:lang w:eastAsia="zh-CN"/>
              </w:rPr>
              <w:t>Intel® SSE4.2, Intel® AVX, Intel® AVX2, Intel® AVX-512</w:t>
            </w:r>
          </w:p>
        </w:tc>
        <w:tc>
          <w:tcPr>
            <w:tcW w:w="1090" w:type="dxa"/>
          </w:tcPr>
          <w:p>
            <w:pPr>
              <w:pStyle w:val="18"/>
              <w:spacing w:before="89" w:line="173" w:lineRule="auto"/>
              <w:ind w:left="281"/>
            </w:pPr>
            <w:r>
              <w:t>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975" w:type="dxa"/>
          </w:tcPr>
          <w:p>
            <w:pPr>
              <w:pStyle w:val="18"/>
              <w:spacing w:before="208" w:line="196" w:lineRule="auto"/>
              <w:ind w:left="136"/>
            </w:pPr>
            <w:r>
              <w:t>缓存模块</w:t>
            </w:r>
          </w:p>
        </w:tc>
        <w:tc>
          <w:tcPr>
            <w:tcW w:w="7331" w:type="dxa"/>
          </w:tcPr>
          <w:p>
            <w:pPr>
              <w:pStyle w:val="18"/>
              <w:spacing w:before="103" w:line="196" w:lineRule="auto"/>
              <w:ind w:left="43" w:right="37" w:hanging="6"/>
            </w:pPr>
            <w:r>
              <w:rPr>
                <w:rFonts w:hint="eastAsia"/>
                <w:spacing w:val="-1"/>
                <w:lang w:eastAsia="zh-CN"/>
              </w:rPr>
              <w:t>单根≥</w:t>
            </w:r>
            <w:r>
              <w:rPr>
                <w:spacing w:val="-1"/>
              </w:rPr>
              <w:t>64GB</w:t>
            </w:r>
            <w:r>
              <w:rPr>
                <w:spacing w:val="20"/>
              </w:rPr>
              <w:t xml:space="preserve"> </w:t>
            </w:r>
            <w:r>
              <w:rPr>
                <w:spacing w:val="-1"/>
              </w:rPr>
              <w:t>3200MHz</w:t>
            </w:r>
            <w:r>
              <w:rPr>
                <w:spacing w:val="16"/>
              </w:rPr>
              <w:t xml:space="preserve"> </w:t>
            </w:r>
            <w:r>
              <w:rPr>
                <w:spacing w:val="-1"/>
              </w:rPr>
              <w:t>DDR4</w:t>
            </w:r>
            <w:r>
              <w:rPr>
                <w:spacing w:val="15"/>
                <w:w w:val="102"/>
              </w:rPr>
              <w:t xml:space="preserve"> </w:t>
            </w:r>
            <w:r>
              <w:rPr>
                <w:spacing w:val="-1"/>
              </w:rPr>
              <w:t>ECC</w:t>
            </w:r>
            <w:r>
              <w:rPr>
                <w:spacing w:val="15"/>
              </w:rPr>
              <w:t xml:space="preserve"> </w:t>
            </w:r>
            <w:r>
              <w:rPr>
                <w:spacing w:val="-1"/>
              </w:rPr>
              <w:t>Reg内存</w:t>
            </w:r>
            <w:r>
              <w:rPr>
                <w:rFonts w:hint="eastAsia"/>
                <w:spacing w:val="-1"/>
                <w:lang w:eastAsia="zh-CN"/>
              </w:rPr>
              <w:t>，可</w:t>
            </w:r>
            <w:r>
              <w:rPr>
                <w:spacing w:val="-1"/>
              </w:rPr>
              <w:t>支持</w:t>
            </w:r>
            <w:r>
              <w:rPr>
                <w:rFonts w:hint="eastAsia"/>
                <w:spacing w:val="-1"/>
                <w:lang w:eastAsia="zh-CN"/>
              </w:rPr>
              <w:t>≥</w:t>
            </w:r>
            <w:r>
              <w:rPr>
                <w:spacing w:val="-1"/>
              </w:rPr>
              <w:t>16</w:t>
            </w:r>
            <w:r>
              <w:rPr>
                <w:rFonts w:hint="eastAsia"/>
                <w:lang w:eastAsia="zh-CN"/>
              </w:rPr>
              <w:t xml:space="preserve">个 </w:t>
            </w:r>
            <w:r>
              <w:rPr>
                <w:spacing w:val="-2"/>
              </w:rPr>
              <w:t>DIMM插槽</w:t>
            </w:r>
            <w:r>
              <w:rPr>
                <w:rFonts w:hint="eastAsia"/>
                <w:spacing w:val="-2"/>
                <w:lang w:eastAsia="zh-CN"/>
              </w:rPr>
              <w:t>，最大</w:t>
            </w:r>
            <w:r>
              <w:rPr>
                <w:spacing w:val="-2"/>
                <w:lang w:eastAsia="zh-CN"/>
              </w:rPr>
              <w:t>4TB 3DS ECC 3200MHz-DDR4 LRDIMM/ RDIMM</w:t>
            </w:r>
          </w:p>
        </w:tc>
        <w:tc>
          <w:tcPr>
            <w:tcW w:w="1090" w:type="dxa"/>
          </w:tcPr>
          <w:p>
            <w:pPr>
              <w:pStyle w:val="18"/>
              <w:spacing w:before="214" w:line="173" w:lineRule="auto"/>
              <w:ind w:left="244"/>
            </w:pPr>
            <w:r>
              <w:rPr>
                <w:spacing w:val="-4"/>
              </w:rPr>
              <w:t>16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" w:hRule="atLeast"/>
        </w:trPr>
        <w:tc>
          <w:tcPr>
            <w:tcW w:w="975" w:type="dxa"/>
          </w:tcPr>
          <w:p>
            <w:pPr>
              <w:pStyle w:val="18"/>
              <w:spacing w:before="152" w:line="196" w:lineRule="auto"/>
              <w:ind w:left="141"/>
            </w:pPr>
            <w:r>
              <w:t>系统SSD</w:t>
            </w:r>
          </w:p>
        </w:tc>
        <w:tc>
          <w:tcPr>
            <w:tcW w:w="7331" w:type="dxa"/>
          </w:tcPr>
          <w:p>
            <w:pPr>
              <w:pStyle w:val="18"/>
              <w:spacing w:before="153" w:line="190" w:lineRule="auto"/>
              <w:ind w:left="36"/>
            </w:pPr>
            <w:r>
              <w:rPr>
                <w:rFonts w:hint="eastAsia"/>
                <w:spacing w:val="-1"/>
                <w:lang w:eastAsia="zh-CN"/>
              </w:rPr>
              <w:t>单盘≥</w:t>
            </w:r>
            <w:r>
              <w:rPr>
                <w:spacing w:val="-1"/>
              </w:rPr>
              <w:t xml:space="preserve">  </w:t>
            </w:r>
            <w:r>
              <w:t>960G 企业级 SATA</w:t>
            </w:r>
            <w:r>
              <w:rPr>
                <w:spacing w:val="10"/>
              </w:rPr>
              <w:t xml:space="preserve"> </w:t>
            </w:r>
            <w:r>
              <w:t>SSD</w:t>
            </w:r>
          </w:p>
        </w:tc>
        <w:tc>
          <w:tcPr>
            <w:tcW w:w="1090" w:type="dxa"/>
          </w:tcPr>
          <w:p>
            <w:pPr>
              <w:pStyle w:val="18"/>
              <w:spacing w:before="159" w:line="173" w:lineRule="auto"/>
              <w:ind w:left="281"/>
            </w:pPr>
            <w:r>
              <w:t>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" w:hRule="atLeast"/>
        </w:trPr>
        <w:tc>
          <w:tcPr>
            <w:tcW w:w="975" w:type="dxa"/>
          </w:tcPr>
          <w:p>
            <w:pPr>
              <w:pStyle w:val="18"/>
              <w:spacing w:before="153" w:line="195" w:lineRule="auto"/>
              <w:ind w:left="142"/>
            </w:pPr>
            <w:r>
              <w:t>计算SSD</w:t>
            </w:r>
          </w:p>
        </w:tc>
        <w:tc>
          <w:tcPr>
            <w:tcW w:w="7331" w:type="dxa"/>
          </w:tcPr>
          <w:p>
            <w:pPr>
              <w:pStyle w:val="18"/>
              <w:spacing w:before="153" w:line="196" w:lineRule="auto"/>
              <w:ind w:left="39"/>
              <w:rPr>
                <w:lang w:eastAsia="zh-CN"/>
              </w:rPr>
            </w:pPr>
            <w:r>
              <w:rPr>
                <w:rFonts w:hint="eastAsia"/>
                <w:spacing w:val="-1"/>
                <w:lang w:eastAsia="zh-CN"/>
              </w:rPr>
              <w:t>单盘≥</w:t>
            </w:r>
            <w:r>
              <w:rPr>
                <w:spacing w:val="-1"/>
                <w:lang w:eastAsia="zh-CN"/>
              </w:rPr>
              <w:t>3.84TB</w:t>
            </w:r>
            <w:r>
              <w:rPr>
                <w:spacing w:val="17"/>
                <w:w w:val="102"/>
                <w:lang w:eastAsia="zh-CN"/>
              </w:rPr>
              <w:t xml:space="preserve"> </w:t>
            </w:r>
            <w:r>
              <w:rPr>
                <w:spacing w:val="-1"/>
                <w:lang w:eastAsia="zh-CN"/>
              </w:rPr>
              <w:t>企业级</w:t>
            </w:r>
            <w:r>
              <w:rPr>
                <w:rFonts w:hint="eastAsia"/>
                <w:spacing w:val="-1"/>
                <w:lang w:eastAsia="zh-CN"/>
              </w:rPr>
              <w:t>M</w:t>
            </w:r>
            <w:r>
              <w:rPr>
                <w:spacing w:val="-1"/>
                <w:lang w:eastAsia="zh-CN"/>
              </w:rPr>
              <w:t>.2  SSD</w:t>
            </w:r>
          </w:p>
        </w:tc>
        <w:tc>
          <w:tcPr>
            <w:tcW w:w="1090" w:type="dxa"/>
          </w:tcPr>
          <w:p>
            <w:pPr>
              <w:pStyle w:val="18"/>
              <w:spacing w:before="160" w:line="173" w:lineRule="auto"/>
              <w:ind w:left="288"/>
            </w:pPr>
            <w:r>
              <w:t>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" w:hRule="atLeast"/>
        </w:trPr>
        <w:tc>
          <w:tcPr>
            <w:tcW w:w="975" w:type="dxa"/>
          </w:tcPr>
          <w:p>
            <w:pPr>
              <w:pStyle w:val="18"/>
              <w:spacing w:before="154" w:line="194" w:lineRule="auto"/>
              <w:ind w:left="59"/>
            </w:pPr>
            <w:r>
              <w:t>冷数据硬盘</w:t>
            </w:r>
          </w:p>
        </w:tc>
        <w:tc>
          <w:tcPr>
            <w:tcW w:w="7331" w:type="dxa"/>
          </w:tcPr>
          <w:p>
            <w:pPr>
              <w:pStyle w:val="18"/>
              <w:spacing w:before="155" w:line="190" w:lineRule="auto"/>
              <w:ind w:left="29"/>
              <w:rPr>
                <w:lang w:eastAsia="zh-CN"/>
              </w:rPr>
            </w:pPr>
            <w:r>
              <w:rPr>
                <w:rFonts w:hint="eastAsia"/>
                <w:spacing w:val="-1"/>
                <w:lang w:eastAsia="zh-CN"/>
              </w:rPr>
              <w:t>单盘≥</w:t>
            </w:r>
            <w:r>
              <w:rPr>
                <w:spacing w:val="-1"/>
                <w:lang w:eastAsia="zh-CN"/>
              </w:rPr>
              <w:t>18T 7200转企业级机械硬盘</w:t>
            </w:r>
            <w:r>
              <w:rPr>
                <w:spacing w:val="27"/>
                <w:w w:val="101"/>
                <w:lang w:eastAsia="zh-CN"/>
              </w:rPr>
              <w:t xml:space="preserve"> </w:t>
            </w:r>
          </w:p>
        </w:tc>
        <w:tc>
          <w:tcPr>
            <w:tcW w:w="1090" w:type="dxa"/>
          </w:tcPr>
          <w:p>
            <w:pPr>
              <w:pStyle w:val="18"/>
              <w:spacing w:before="160" w:line="173" w:lineRule="auto"/>
              <w:ind w:left="281"/>
            </w:pPr>
            <w:r>
              <w:t>6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" w:hRule="atLeast"/>
        </w:trPr>
        <w:tc>
          <w:tcPr>
            <w:tcW w:w="975" w:type="dxa"/>
          </w:tcPr>
          <w:p>
            <w:pPr>
              <w:pStyle w:val="18"/>
              <w:spacing w:before="154" w:line="196" w:lineRule="auto"/>
              <w:ind w:left="217"/>
            </w:pPr>
            <w:r>
              <w:rPr>
                <w:spacing w:val="-2"/>
              </w:rPr>
              <w:t>阵列卡</w:t>
            </w:r>
          </w:p>
        </w:tc>
        <w:tc>
          <w:tcPr>
            <w:tcW w:w="7331" w:type="dxa"/>
          </w:tcPr>
          <w:p>
            <w:pPr>
              <w:pStyle w:val="18"/>
              <w:spacing w:before="155" w:line="195" w:lineRule="auto"/>
              <w:ind w:left="43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提供</w:t>
            </w:r>
            <w:r>
              <w:rPr>
                <w:lang w:eastAsia="zh-CN"/>
              </w:rPr>
              <w:t>独立阵列卡，带BBU</w:t>
            </w:r>
            <w:r>
              <w:rPr>
                <w:rFonts w:hint="eastAsia"/>
                <w:lang w:eastAsia="zh-CN"/>
              </w:rPr>
              <w:t>电池</w:t>
            </w:r>
          </w:p>
        </w:tc>
        <w:tc>
          <w:tcPr>
            <w:tcW w:w="1090" w:type="dxa"/>
          </w:tcPr>
          <w:p>
            <w:pPr>
              <w:pStyle w:val="18"/>
              <w:spacing w:before="161" w:line="173" w:lineRule="auto"/>
              <w:ind w:left="288"/>
            </w:pPr>
            <w:r>
              <w:t>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975" w:type="dxa"/>
          </w:tcPr>
          <w:p>
            <w:pPr>
              <w:pStyle w:val="18"/>
              <w:spacing w:before="47" w:line="167" w:lineRule="exact"/>
              <w:ind w:left="207"/>
            </w:pPr>
            <w:r>
              <w:rPr>
                <w:spacing w:val="-1"/>
              </w:rPr>
              <w:t>GPU卡</w:t>
            </w:r>
          </w:p>
        </w:tc>
        <w:tc>
          <w:tcPr>
            <w:tcW w:w="7331" w:type="dxa"/>
          </w:tcPr>
          <w:p>
            <w:pPr>
              <w:pStyle w:val="18"/>
              <w:spacing w:before="47" w:line="167" w:lineRule="exact"/>
              <w:ind w:left="43"/>
              <w:rPr>
                <w:rFonts w:hint="eastAsia"/>
                <w:lang w:eastAsia="zh-CN"/>
              </w:rPr>
            </w:pPr>
            <w:r>
              <w:rPr>
                <w:rFonts w:hint="eastAsia"/>
                <w:spacing w:val="-1"/>
                <w:lang w:eastAsia="zh-CN"/>
              </w:rPr>
              <w:t xml:space="preserve">单卡≥ </w:t>
            </w:r>
            <w:r>
              <w:rPr>
                <w:lang w:eastAsia="zh-CN"/>
              </w:rPr>
              <w:t>24G显存高性</w:t>
            </w:r>
            <w:r>
              <w:rPr>
                <w:spacing w:val="-1"/>
                <w:lang w:eastAsia="zh-CN"/>
              </w:rPr>
              <w:t>能计算卡</w:t>
            </w:r>
            <w:r>
              <w:rPr>
                <w:rFonts w:hint="eastAsia"/>
                <w:spacing w:val="-1"/>
                <w:lang w:eastAsia="zh-CN"/>
              </w:rPr>
              <w:t>，最高可支持4片GPU，提供1140 TFLOPs混合算力</w:t>
            </w:r>
          </w:p>
        </w:tc>
        <w:tc>
          <w:tcPr>
            <w:tcW w:w="1090" w:type="dxa"/>
          </w:tcPr>
          <w:p>
            <w:pPr>
              <w:pStyle w:val="18"/>
              <w:spacing w:before="53" w:line="162" w:lineRule="exact"/>
              <w:ind w:left="281"/>
            </w:pPr>
            <w:r>
              <w:rPr>
                <w:position w:val="-1"/>
              </w:rPr>
              <w:t>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975" w:type="dxa"/>
          </w:tcPr>
          <w:p>
            <w:pPr>
              <w:pStyle w:val="18"/>
              <w:spacing w:before="47" w:line="167" w:lineRule="exact"/>
              <w:ind w:left="207"/>
              <w:rPr>
                <w:spacing w:val="-1"/>
              </w:rPr>
            </w:pPr>
            <w:r>
              <w:rPr>
                <w:rFonts w:hint="eastAsia"/>
                <w:spacing w:val="-1"/>
                <w:lang w:eastAsia="zh-CN"/>
              </w:rPr>
              <w:t>网络</w:t>
            </w:r>
          </w:p>
        </w:tc>
        <w:tc>
          <w:tcPr>
            <w:tcW w:w="7331" w:type="dxa"/>
          </w:tcPr>
          <w:p>
            <w:pPr>
              <w:pStyle w:val="18"/>
              <w:spacing w:before="47" w:line="167" w:lineRule="exact"/>
              <w:ind w:left="43"/>
              <w:rPr>
                <w:rFonts w:hint="eastAsia"/>
                <w:spacing w:val="-1"/>
                <w:lang w:eastAsia="zh-CN"/>
              </w:rPr>
            </w:pPr>
            <w:r>
              <w:rPr>
                <w:rFonts w:hint="eastAsia"/>
                <w:spacing w:val="-1"/>
                <w:lang w:eastAsia="zh-CN"/>
              </w:rPr>
              <w:t xml:space="preserve">板载 ≥ </w:t>
            </w:r>
            <w:r>
              <w:rPr>
                <w:spacing w:val="-1"/>
                <w:lang w:eastAsia="zh-CN"/>
              </w:rPr>
              <w:t xml:space="preserve"> 2</w:t>
            </w:r>
            <w:r>
              <w:rPr>
                <w:rFonts w:hint="eastAsia"/>
                <w:spacing w:val="-1"/>
                <w:lang w:eastAsia="zh-CN"/>
              </w:rPr>
              <w:t xml:space="preserve">个 </w:t>
            </w:r>
            <w:r>
              <w:rPr>
                <w:spacing w:val="-1"/>
                <w:lang w:eastAsia="zh-CN"/>
              </w:rPr>
              <w:t>10GbE RJ45</w:t>
            </w:r>
          </w:p>
        </w:tc>
        <w:tc>
          <w:tcPr>
            <w:tcW w:w="1090" w:type="dxa"/>
          </w:tcPr>
          <w:p>
            <w:pPr>
              <w:pStyle w:val="18"/>
              <w:spacing w:before="53" w:line="162" w:lineRule="exact"/>
              <w:ind w:left="281"/>
              <w:rPr>
                <w:rFonts w:hint="eastAsia"/>
                <w:position w:val="-1"/>
                <w:lang w:eastAsia="zh-CN"/>
              </w:rPr>
            </w:pPr>
            <w:r>
              <w:rPr>
                <w:rFonts w:hint="eastAsia"/>
                <w:position w:val="-1"/>
                <w:lang w:eastAsia="zh-CN"/>
              </w:rPr>
              <w:t>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975" w:type="dxa"/>
          </w:tcPr>
          <w:p>
            <w:pPr>
              <w:pStyle w:val="18"/>
              <w:spacing w:before="47" w:line="167" w:lineRule="exact"/>
              <w:ind w:left="209"/>
            </w:pPr>
          </w:p>
          <w:p>
            <w:pPr>
              <w:pStyle w:val="18"/>
              <w:spacing w:before="47" w:line="167" w:lineRule="exact"/>
              <w:ind w:left="209"/>
            </w:pPr>
            <w:r>
              <w:t>扩展槽</w:t>
            </w:r>
          </w:p>
        </w:tc>
        <w:tc>
          <w:tcPr>
            <w:tcW w:w="7331" w:type="dxa"/>
          </w:tcPr>
          <w:p>
            <w:pPr>
              <w:pStyle w:val="18"/>
              <w:spacing w:before="47" w:line="167" w:lineRule="exact"/>
              <w:ind w:left="37"/>
              <w:rPr>
                <w:spacing w:val="-1"/>
                <w:lang w:eastAsia="zh-CN"/>
              </w:rPr>
            </w:pPr>
            <w:r>
              <w:rPr>
                <w:rFonts w:hint="eastAsia"/>
                <w:spacing w:val="-1"/>
                <w:lang w:eastAsia="zh-CN"/>
              </w:rPr>
              <w:t>提供板载</w:t>
            </w:r>
          </w:p>
          <w:p>
            <w:pPr>
              <w:pStyle w:val="18"/>
              <w:spacing w:before="47" w:line="167" w:lineRule="exact"/>
              <w:ind w:left="37"/>
              <w:rPr>
                <w:spacing w:val="-2"/>
                <w:position w:val="-1"/>
                <w:lang w:eastAsia="zh-CN"/>
              </w:rPr>
            </w:pPr>
            <w:r>
              <w:rPr>
                <w:rFonts w:hint="eastAsia"/>
                <w:spacing w:val="-1"/>
                <w:lang w:eastAsia="zh-CN"/>
              </w:rPr>
              <w:t xml:space="preserve">≥ </w:t>
            </w:r>
            <w:r>
              <w:rPr>
                <w:spacing w:val="-2"/>
                <w:position w:val="-1"/>
              </w:rPr>
              <w:t xml:space="preserve">4 </w:t>
            </w:r>
            <w:r>
              <w:rPr>
                <w:rFonts w:hint="eastAsia"/>
                <w:spacing w:val="-2"/>
                <w:position w:val="-1"/>
                <w:lang w:eastAsia="zh-CN"/>
              </w:rPr>
              <w:t xml:space="preserve">个 </w:t>
            </w:r>
            <w:r>
              <w:rPr>
                <w:spacing w:val="-2"/>
                <w:position w:val="-1"/>
                <w:lang w:eastAsia="zh-CN"/>
              </w:rPr>
              <w:t xml:space="preserve"> </w:t>
            </w:r>
            <w:r>
              <w:rPr>
                <w:spacing w:val="-2"/>
                <w:position w:val="-1"/>
              </w:rPr>
              <w:t>PCIe 4.0 x</w:t>
            </w:r>
            <w:r>
              <w:rPr>
                <w:spacing w:val="17"/>
                <w:position w:val="-1"/>
              </w:rPr>
              <w:t xml:space="preserve"> </w:t>
            </w:r>
            <w:r>
              <w:rPr>
                <w:spacing w:val="-2"/>
                <w:position w:val="-1"/>
              </w:rPr>
              <w:t>16</w:t>
            </w:r>
            <w:r>
              <w:rPr>
                <w:spacing w:val="9"/>
                <w:position w:val="-1"/>
              </w:rPr>
              <w:t xml:space="preserve"> </w:t>
            </w:r>
            <w:r>
              <w:rPr>
                <w:spacing w:val="-2"/>
                <w:position w:val="-1"/>
              </w:rPr>
              <w:t>FHFL slots</w:t>
            </w:r>
            <w:r>
              <w:rPr>
                <w:rFonts w:hint="eastAsia"/>
                <w:spacing w:val="-2"/>
                <w:position w:val="-1"/>
                <w:lang w:eastAsia="zh-CN"/>
              </w:rPr>
              <w:t>；</w:t>
            </w:r>
          </w:p>
          <w:p>
            <w:pPr>
              <w:pStyle w:val="18"/>
              <w:spacing w:before="47" w:line="167" w:lineRule="exact"/>
              <w:ind w:left="37"/>
            </w:pPr>
            <w:r>
              <w:rPr>
                <w:rFonts w:hint="eastAsia"/>
                <w:spacing w:val="-1"/>
                <w:lang w:eastAsia="zh-CN"/>
              </w:rPr>
              <w:t xml:space="preserve">≥ </w:t>
            </w:r>
            <w:r>
              <w:rPr>
                <w:spacing w:val="-1"/>
                <w:lang w:eastAsia="zh-CN"/>
              </w:rPr>
              <w:t xml:space="preserve"> </w:t>
            </w:r>
            <w:r>
              <w:rPr>
                <w:rFonts w:hint="eastAsia"/>
              </w:rPr>
              <w:t xml:space="preserve">2 </w:t>
            </w:r>
            <w:r>
              <w:rPr>
                <w:rFonts w:hint="eastAsia"/>
                <w:lang w:eastAsia="zh-CN"/>
              </w:rPr>
              <w:t>个</w:t>
            </w:r>
            <w:r>
              <w:rPr>
                <w:rFonts w:hint="eastAsia"/>
              </w:rPr>
              <w:t xml:space="preserve"> PCIe4.0 x16 FHHLslots</w:t>
            </w:r>
          </w:p>
          <w:p>
            <w:pPr>
              <w:pStyle w:val="18"/>
              <w:spacing w:before="47" w:line="167" w:lineRule="exact"/>
              <w:ind w:left="37"/>
              <w:rPr>
                <w:rFonts w:hint="eastAsia"/>
              </w:rPr>
            </w:pPr>
            <w:r>
              <w:rPr>
                <w:rFonts w:hint="eastAsia"/>
                <w:spacing w:val="-1"/>
                <w:lang w:eastAsia="zh-CN"/>
              </w:rPr>
              <w:t xml:space="preserve">≥ </w:t>
            </w:r>
            <w:r>
              <w:rPr>
                <w:spacing w:val="-1"/>
                <w:lang w:eastAsia="zh-CN"/>
              </w:rPr>
              <w:t xml:space="preserve"> </w:t>
            </w:r>
            <w:r>
              <w:rPr>
                <w:rFonts w:hint="eastAsia"/>
              </w:rPr>
              <w:t xml:space="preserve">1 </w:t>
            </w:r>
            <w:r>
              <w:rPr>
                <w:rFonts w:hint="eastAsia"/>
                <w:lang w:eastAsia="zh-CN"/>
              </w:rPr>
              <w:t xml:space="preserve">个 </w:t>
            </w:r>
            <w:r>
              <w:rPr>
                <w:rFonts w:hint="eastAsia"/>
              </w:rPr>
              <w:t>PCIe4.0 x 8</w:t>
            </w:r>
            <w:r>
              <w:t xml:space="preserve">  </w:t>
            </w:r>
            <w:r>
              <w:rPr>
                <w:rFonts w:hint="eastAsia"/>
              </w:rPr>
              <w:t>FHHL slot</w:t>
            </w:r>
          </w:p>
        </w:tc>
        <w:tc>
          <w:tcPr>
            <w:tcW w:w="1090" w:type="dxa"/>
          </w:tcPr>
          <w:p>
            <w:pPr>
              <w:pStyle w:val="18"/>
              <w:spacing w:before="53" w:line="162" w:lineRule="exact"/>
              <w:ind w:left="288"/>
              <w:rPr>
                <w:lang w:eastAsia="zh-CN"/>
              </w:rPr>
            </w:pPr>
          </w:p>
          <w:p>
            <w:pPr>
              <w:pStyle w:val="18"/>
              <w:spacing w:before="53" w:line="162" w:lineRule="exact"/>
              <w:ind w:left="288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975" w:type="dxa"/>
          </w:tcPr>
          <w:p>
            <w:pPr>
              <w:pStyle w:val="18"/>
              <w:spacing w:before="47" w:line="167" w:lineRule="exact"/>
              <w:ind w:left="209"/>
              <w:rPr>
                <w:lang w:eastAsia="zh-CN"/>
              </w:rPr>
            </w:pPr>
          </w:p>
          <w:p>
            <w:pPr>
              <w:pStyle w:val="18"/>
              <w:spacing w:before="47" w:line="167" w:lineRule="exact"/>
              <w:ind w:left="209"/>
              <w:rPr>
                <w:lang w:eastAsia="zh-CN"/>
              </w:rPr>
            </w:pPr>
          </w:p>
          <w:p>
            <w:pPr>
              <w:pStyle w:val="18"/>
              <w:spacing w:before="47" w:line="167" w:lineRule="exact"/>
              <w:ind w:left="209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I</w:t>
            </w:r>
            <w:r>
              <w:rPr>
                <w:lang w:eastAsia="zh-CN"/>
              </w:rPr>
              <w:t>O</w:t>
            </w:r>
            <w:r>
              <w:rPr>
                <w:rFonts w:hint="eastAsia"/>
                <w:lang w:eastAsia="zh-CN"/>
              </w:rPr>
              <w:t>接口</w:t>
            </w:r>
          </w:p>
        </w:tc>
        <w:tc>
          <w:tcPr>
            <w:tcW w:w="7331" w:type="dxa"/>
          </w:tcPr>
          <w:p>
            <w:pPr>
              <w:pStyle w:val="18"/>
              <w:spacing w:before="47" w:line="167" w:lineRule="exact"/>
              <w:ind w:left="37"/>
              <w:rPr>
                <w:spacing w:val="-1"/>
                <w:lang w:eastAsia="zh-CN"/>
              </w:rPr>
            </w:pPr>
            <w:r>
              <w:rPr>
                <w:rFonts w:hint="eastAsia"/>
                <w:spacing w:val="-1"/>
                <w:lang w:eastAsia="zh-CN"/>
              </w:rPr>
              <w:t>提供板载</w:t>
            </w:r>
          </w:p>
          <w:p>
            <w:pPr>
              <w:pStyle w:val="18"/>
              <w:spacing w:before="47" w:line="167" w:lineRule="exact"/>
              <w:ind w:left="37"/>
              <w:rPr>
                <w:spacing w:val="-1"/>
                <w:lang w:eastAsia="zh-CN"/>
              </w:rPr>
            </w:pPr>
            <w:r>
              <w:rPr>
                <w:rFonts w:hint="eastAsia"/>
                <w:spacing w:val="-1"/>
                <w:lang w:eastAsia="zh-CN"/>
              </w:rPr>
              <w:t xml:space="preserve">≥ </w:t>
            </w:r>
            <w:r>
              <w:rPr>
                <w:spacing w:val="-1"/>
                <w:lang w:eastAsia="zh-CN"/>
              </w:rPr>
              <w:t xml:space="preserve">6 </w:t>
            </w:r>
            <w:r>
              <w:rPr>
                <w:rFonts w:hint="eastAsia"/>
                <w:spacing w:val="-1"/>
                <w:lang w:eastAsia="zh-CN"/>
              </w:rPr>
              <w:t>个</w:t>
            </w:r>
            <w:r>
              <w:rPr>
                <w:spacing w:val="-1"/>
                <w:lang w:eastAsia="zh-CN"/>
              </w:rPr>
              <w:t xml:space="preserve"> USB3.0</w:t>
            </w:r>
          </w:p>
          <w:p>
            <w:pPr>
              <w:pStyle w:val="18"/>
              <w:spacing w:before="47" w:line="167" w:lineRule="exact"/>
              <w:ind w:left="37"/>
              <w:rPr>
                <w:spacing w:val="-1"/>
                <w:lang w:eastAsia="zh-CN"/>
              </w:rPr>
            </w:pPr>
            <w:r>
              <w:rPr>
                <w:rFonts w:hint="eastAsia"/>
                <w:spacing w:val="-1"/>
                <w:lang w:eastAsia="zh-CN"/>
              </w:rPr>
              <w:t xml:space="preserve">≥ </w:t>
            </w:r>
            <w:r>
              <w:rPr>
                <w:spacing w:val="-1"/>
                <w:lang w:eastAsia="zh-CN"/>
              </w:rPr>
              <w:t xml:space="preserve">1 </w:t>
            </w:r>
            <w:r>
              <w:rPr>
                <w:rFonts w:hint="eastAsia"/>
                <w:spacing w:val="-1"/>
                <w:lang w:eastAsia="zh-CN"/>
              </w:rPr>
              <w:t>个</w:t>
            </w:r>
            <w:r>
              <w:rPr>
                <w:spacing w:val="-1"/>
                <w:lang w:eastAsia="zh-CN"/>
              </w:rPr>
              <w:t xml:space="preserve"> VGA</w:t>
            </w:r>
          </w:p>
          <w:p>
            <w:pPr>
              <w:pStyle w:val="18"/>
              <w:spacing w:before="47" w:line="167" w:lineRule="exact"/>
              <w:ind w:left="37"/>
              <w:rPr>
                <w:spacing w:val="-1"/>
                <w:lang w:eastAsia="zh-CN"/>
              </w:rPr>
            </w:pPr>
            <w:r>
              <w:rPr>
                <w:rFonts w:hint="eastAsia"/>
                <w:spacing w:val="-1"/>
                <w:lang w:eastAsia="zh-CN"/>
              </w:rPr>
              <w:t xml:space="preserve">≥ </w:t>
            </w:r>
            <w:r>
              <w:rPr>
                <w:spacing w:val="-1"/>
                <w:lang w:eastAsia="zh-CN"/>
              </w:rPr>
              <w:t xml:space="preserve">1 </w:t>
            </w:r>
            <w:r>
              <w:rPr>
                <w:rFonts w:hint="eastAsia"/>
                <w:spacing w:val="-1"/>
                <w:lang w:eastAsia="zh-CN"/>
              </w:rPr>
              <w:t>个</w:t>
            </w:r>
            <w:r>
              <w:rPr>
                <w:spacing w:val="-1"/>
                <w:lang w:eastAsia="zh-CN"/>
              </w:rPr>
              <w:t xml:space="preserve"> COM</w:t>
            </w:r>
          </w:p>
          <w:p>
            <w:pPr>
              <w:pStyle w:val="18"/>
              <w:spacing w:before="47" w:line="167" w:lineRule="exact"/>
              <w:ind w:left="37"/>
              <w:rPr>
                <w:rFonts w:hint="eastAsia"/>
                <w:spacing w:val="-1"/>
                <w:lang w:eastAsia="zh-CN"/>
              </w:rPr>
            </w:pPr>
            <w:r>
              <w:rPr>
                <w:rFonts w:hint="eastAsia"/>
                <w:spacing w:val="-1"/>
                <w:lang w:eastAsia="zh-CN"/>
              </w:rPr>
              <w:t xml:space="preserve">≥ </w:t>
            </w:r>
            <w:r>
              <w:rPr>
                <w:spacing w:val="-1"/>
                <w:lang w:eastAsia="zh-CN"/>
              </w:rPr>
              <w:t xml:space="preserve">1 </w:t>
            </w:r>
            <w:r>
              <w:rPr>
                <w:rFonts w:hint="eastAsia"/>
                <w:spacing w:val="-1"/>
                <w:lang w:eastAsia="zh-CN"/>
              </w:rPr>
              <w:t>个</w:t>
            </w:r>
            <w:r>
              <w:rPr>
                <w:spacing w:val="-1"/>
                <w:lang w:eastAsia="zh-CN"/>
              </w:rPr>
              <w:t xml:space="preserve">Mgmt RJ45 </w:t>
            </w:r>
            <w:r>
              <w:rPr>
                <w:rFonts w:hint="eastAsia"/>
                <w:spacing w:val="-1"/>
                <w:lang w:eastAsia="zh-CN"/>
              </w:rPr>
              <w:t>管理口</w:t>
            </w:r>
          </w:p>
        </w:tc>
        <w:tc>
          <w:tcPr>
            <w:tcW w:w="1090" w:type="dxa"/>
          </w:tcPr>
          <w:p>
            <w:pPr>
              <w:pStyle w:val="18"/>
              <w:spacing w:before="53" w:line="162" w:lineRule="exact"/>
              <w:ind w:left="288"/>
              <w:rPr>
                <w:position w:val="-1"/>
                <w:lang w:eastAsia="zh-CN"/>
              </w:rPr>
            </w:pPr>
          </w:p>
          <w:p>
            <w:pPr>
              <w:pStyle w:val="18"/>
              <w:spacing w:before="53" w:line="162" w:lineRule="exact"/>
              <w:ind w:left="288"/>
              <w:rPr>
                <w:position w:val="-1"/>
                <w:lang w:eastAsia="zh-CN"/>
              </w:rPr>
            </w:pPr>
          </w:p>
          <w:p>
            <w:pPr>
              <w:pStyle w:val="18"/>
              <w:spacing w:before="53" w:line="162" w:lineRule="exact"/>
              <w:ind w:left="288"/>
              <w:rPr>
                <w:rFonts w:hint="eastAsia"/>
                <w:position w:val="-1"/>
                <w:lang w:eastAsia="zh-CN"/>
              </w:rPr>
            </w:pPr>
            <w:r>
              <w:rPr>
                <w:rFonts w:hint="eastAsia"/>
                <w:position w:val="-1"/>
                <w:lang w:eastAsia="zh-CN"/>
              </w:rPr>
              <w:t>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975" w:type="dxa"/>
          </w:tcPr>
          <w:p>
            <w:pPr>
              <w:pStyle w:val="18"/>
              <w:spacing w:before="47" w:line="167" w:lineRule="exact"/>
              <w:ind w:left="209"/>
            </w:pPr>
          </w:p>
          <w:p>
            <w:pPr>
              <w:pStyle w:val="18"/>
              <w:spacing w:before="47" w:line="167" w:lineRule="exact"/>
              <w:ind w:left="209"/>
            </w:pPr>
            <w:r>
              <w:rPr>
                <w:rFonts w:hint="eastAsia"/>
              </w:rPr>
              <w:t>存储</w:t>
            </w:r>
          </w:p>
        </w:tc>
        <w:tc>
          <w:tcPr>
            <w:tcW w:w="7331" w:type="dxa"/>
          </w:tcPr>
          <w:p>
            <w:pPr>
              <w:pStyle w:val="18"/>
              <w:spacing w:before="47" w:line="167" w:lineRule="exact"/>
              <w:ind w:left="37"/>
              <w:rPr>
                <w:spacing w:val="-1"/>
                <w:lang w:eastAsia="zh-CN"/>
              </w:rPr>
            </w:pPr>
            <w:r>
              <w:rPr>
                <w:rFonts w:hint="eastAsia"/>
                <w:spacing w:val="-1"/>
                <w:lang w:eastAsia="zh-CN"/>
              </w:rPr>
              <w:t>机箱提供</w:t>
            </w:r>
          </w:p>
          <w:p>
            <w:pPr>
              <w:pStyle w:val="18"/>
              <w:spacing w:before="47" w:line="167" w:lineRule="exact"/>
              <w:ind w:left="37"/>
              <w:rPr>
                <w:rFonts w:hint="eastAsia"/>
                <w:spacing w:val="-1"/>
                <w:lang w:eastAsia="zh-CN"/>
              </w:rPr>
            </w:pPr>
            <w:r>
              <w:rPr>
                <w:rFonts w:hint="eastAsia"/>
                <w:spacing w:val="-1"/>
                <w:lang w:eastAsia="zh-CN"/>
              </w:rPr>
              <w:t>≥ 10 个 3.5”/2.5” SATA热插拔硬盘插槽</w:t>
            </w:r>
          </w:p>
          <w:p>
            <w:pPr>
              <w:pStyle w:val="18"/>
              <w:spacing w:before="47" w:line="167" w:lineRule="exact"/>
              <w:ind w:left="37"/>
              <w:rPr>
                <w:rFonts w:hint="eastAsia"/>
                <w:spacing w:val="-1"/>
                <w:lang w:eastAsia="zh-CN"/>
              </w:rPr>
            </w:pPr>
            <w:r>
              <w:rPr>
                <w:rFonts w:hint="eastAsia"/>
                <w:spacing w:val="-1"/>
                <w:lang w:eastAsia="zh-CN"/>
              </w:rPr>
              <w:t xml:space="preserve">≥ </w:t>
            </w:r>
            <w:r>
              <w:rPr>
                <w:spacing w:val="-1"/>
                <w:lang w:eastAsia="zh-CN"/>
              </w:rPr>
              <w:t xml:space="preserve"> 2 </w:t>
            </w:r>
            <w:r>
              <w:rPr>
                <w:rFonts w:hint="eastAsia"/>
                <w:spacing w:val="-1"/>
                <w:lang w:eastAsia="zh-CN"/>
              </w:rPr>
              <w:t>个</w:t>
            </w:r>
            <w:r>
              <w:rPr>
                <w:spacing w:val="-1"/>
                <w:lang w:eastAsia="zh-CN"/>
              </w:rPr>
              <w:t>PCIe Gen4 M.2 (2280/22110)</w:t>
            </w:r>
          </w:p>
        </w:tc>
        <w:tc>
          <w:tcPr>
            <w:tcW w:w="1090" w:type="dxa"/>
          </w:tcPr>
          <w:p>
            <w:pPr>
              <w:pStyle w:val="18"/>
              <w:spacing w:before="53" w:line="162" w:lineRule="exact"/>
              <w:ind w:left="288"/>
              <w:rPr>
                <w:position w:val="-1"/>
                <w:lang w:eastAsia="zh-CN"/>
              </w:rPr>
            </w:pPr>
          </w:p>
          <w:p>
            <w:pPr>
              <w:pStyle w:val="18"/>
              <w:spacing w:before="53" w:line="162" w:lineRule="exact"/>
              <w:ind w:left="288"/>
              <w:rPr>
                <w:rFonts w:hint="eastAsia"/>
                <w:position w:val="-1"/>
                <w:lang w:eastAsia="zh-CN"/>
              </w:rPr>
            </w:pPr>
            <w:r>
              <w:rPr>
                <w:rFonts w:hint="eastAsia"/>
                <w:position w:val="-1"/>
                <w:lang w:eastAsia="zh-CN"/>
              </w:rPr>
              <w:t>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</w:trPr>
        <w:tc>
          <w:tcPr>
            <w:tcW w:w="975" w:type="dxa"/>
          </w:tcPr>
          <w:p>
            <w:pPr>
              <w:pStyle w:val="18"/>
              <w:spacing w:before="87" w:line="193" w:lineRule="auto"/>
              <w:ind w:firstLine="150" w:firstLineChars="100"/>
            </w:pPr>
            <w:r>
              <w:t>机箱</w:t>
            </w:r>
          </w:p>
        </w:tc>
        <w:tc>
          <w:tcPr>
            <w:tcW w:w="7331" w:type="dxa"/>
          </w:tcPr>
          <w:p>
            <w:pPr>
              <w:pStyle w:val="18"/>
              <w:spacing w:before="87" w:line="193" w:lineRule="auto"/>
              <w:ind w:left="31"/>
            </w:pPr>
            <w:r>
              <w:t>塔式工作站</w:t>
            </w:r>
          </w:p>
        </w:tc>
        <w:tc>
          <w:tcPr>
            <w:tcW w:w="1090" w:type="dxa"/>
          </w:tcPr>
          <w:p>
            <w:pPr>
              <w:pStyle w:val="18"/>
              <w:spacing w:before="92" w:line="173" w:lineRule="auto"/>
              <w:ind w:left="288"/>
            </w:pPr>
            <w:r>
              <w:t>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6" w:hRule="atLeast"/>
        </w:trPr>
        <w:tc>
          <w:tcPr>
            <w:tcW w:w="975" w:type="dxa"/>
          </w:tcPr>
          <w:p>
            <w:pPr>
              <w:spacing w:line="442" w:lineRule="auto"/>
            </w:pPr>
          </w:p>
          <w:p>
            <w:pPr>
              <w:pStyle w:val="18"/>
              <w:spacing w:before="64" w:line="195" w:lineRule="auto"/>
              <w:ind w:left="135"/>
            </w:pPr>
          </w:p>
          <w:p>
            <w:pPr>
              <w:pStyle w:val="18"/>
              <w:spacing w:before="64" w:line="195" w:lineRule="auto"/>
              <w:ind w:left="135"/>
            </w:pPr>
          </w:p>
          <w:p>
            <w:pPr>
              <w:pStyle w:val="18"/>
              <w:spacing w:before="64" w:line="195" w:lineRule="auto"/>
              <w:ind w:left="135"/>
            </w:pPr>
          </w:p>
          <w:p>
            <w:pPr>
              <w:pStyle w:val="18"/>
              <w:spacing w:before="64" w:line="195" w:lineRule="auto"/>
              <w:ind w:left="135"/>
            </w:pPr>
            <w:r>
              <w:t>预装软件</w:t>
            </w:r>
          </w:p>
        </w:tc>
        <w:tc>
          <w:tcPr>
            <w:tcW w:w="7331" w:type="dxa"/>
          </w:tcPr>
          <w:p>
            <w:pPr>
              <w:pStyle w:val="18"/>
              <w:spacing w:before="89" w:line="196" w:lineRule="auto"/>
              <w:ind w:left="30" w:right="192"/>
            </w:pPr>
            <w:r>
              <w:rPr>
                <w:rFonts w:hint="eastAsia"/>
                <w:lang w:eastAsia="zh-CN"/>
              </w:rPr>
              <w:t>提供</w:t>
            </w:r>
            <w:r>
              <w:rPr>
                <w:spacing w:val="29"/>
                <w:w w:val="101"/>
              </w:rPr>
              <w:t xml:space="preserve"> </w:t>
            </w:r>
            <w:r>
              <w:t>Ubuntu 20.04 操作系统，深度学习应用软件 Caffe,    OpenMPI</w:t>
            </w:r>
            <w:r>
              <w:rPr>
                <w:spacing w:val="3"/>
              </w:rPr>
              <w:t>，</w:t>
            </w:r>
            <w:r>
              <w:t>BLAS</w:t>
            </w:r>
            <w:r>
              <w:rPr>
                <w:spacing w:val="3"/>
              </w:rPr>
              <w:t>，</w:t>
            </w:r>
            <w:r>
              <w:t>LAPACK</w:t>
            </w:r>
            <w:r>
              <w:rPr>
                <w:spacing w:val="3"/>
              </w:rPr>
              <w:t>,</w:t>
            </w:r>
            <w:r>
              <w:t>FFTW</w:t>
            </w:r>
            <w:r>
              <w:rPr>
                <w:spacing w:val="3"/>
              </w:rPr>
              <w:t>、</w:t>
            </w:r>
            <w:r>
              <w:t>CUDA</w:t>
            </w:r>
            <w:r>
              <w:rPr>
                <w:spacing w:val="3"/>
              </w:rPr>
              <w:t xml:space="preserve"> 驱动，</w:t>
            </w:r>
            <w:r>
              <w:t>CUDA  工具包;</w:t>
            </w:r>
          </w:p>
          <w:p>
            <w:pPr>
              <w:pStyle w:val="18"/>
              <w:spacing w:before="89" w:line="196" w:lineRule="auto"/>
              <w:ind w:left="30" w:right="192"/>
            </w:pPr>
            <w:r>
              <w:t>AI</w:t>
            </w:r>
            <w:r>
              <w:rPr>
                <w:spacing w:val="31"/>
              </w:rPr>
              <w:t xml:space="preserve"> </w:t>
            </w:r>
            <w:r>
              <w:t>MAX</w:t>
            </w:r>
            <w:r>
              <w:rPr>
                <w:rFonts w:hint="eastAsia"/>
                <w:lang w:eastAsia="zh-CN"/>
              </w:rPr>
              <w:t>智能计算平台</w:t>
            </w:r>
            <w:r>
              <w:t>，提供统一的中文 web 管理界面，支持 web</w:t>
            </w:r>
            <w:r>
              <w:rPr>
                <w:spacing w:val="1"/>
              </w:rPr>
              <w:t xml:space="preserve"> 界面中英文切换;订制版 </w:t>
            </w:r>
            <w:r>
              <w:t>TensorFlow</w:t>
            </w:r>
            <w:r>
              <w:rPr>
                <w:spacing w:val="1"/>
              </w:rPr>
              <w:t>-</w:t>
            </w:r>
            <w:r>
              <w:t>GPU</w:t>
            </w:r>
            <w:r>
              <w:rPr>
                <w:spacing w:val="1"/>
              </w:rPr>
              <w:t>、</w:t>
            </w:r>
            <w:r>
              <w:t>Caffe</w:t>
            </w:r>
            <w:r>
              <w:rPr>
                <w:spacing w:val="1"/>
              </w:rPr>
              <w:t>、</w:t>
            </w:r>
          </w:p>
          <w:p>
            <w:pPr>
              <w:pStyle w:val="18"/>
              <w:spacing w:before="1" w:line="179" w:lineRule="auto"/>
              <w:ind w:left="43"/>
              <w:rPr>
                <w:lang w:eastAsia="zh-CN"/>
              </w:rPr>
            </w:pPr>
            <w:r>
              <w:rPr>
                <w:lang w:eastAsia="zh-CN"/>
              </w:rPr>
              <w:t>PyTorch、Mxnet 的各个版本镜像</w:t>
            </w:r>
          </w:p>
          <w:p>
            <w:pPr>
              <w:pStyle w:val="18"/>
              <w:spacing w:before="1" w:line="179" w:lineRule="auto"/>
              <w:ind w:left="43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1.用户界面：AI MAX深度学习平台，提供统一的中文web管理界面，支持web界面中英文切换（提供证明截图）；</w:t>
            </w:r>
          </w:p>
          <w:p>
            <w:pPr>
              <w:pStyle w:val="18"/>
              <w:spacing w:before="1" w:line="179" w:lineRule="auto"/>
              <w:ind w:left="43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2.权限管理：对用户组进行管理。支持用户组创建、删除，角色设定，将用户加入或移出用户组等；对用户的CPU、GPU、Mem和存储配额进行设定，限定用户能使用的资源数量（提供证明截图）</w:t>
            </w:r>
          </w:p>
          <w:p>
            <w:pPr>
              <w:pStyle w:val="18"/>
              <w:spacing w:before="1" w:line="179" w:lineRule="auto"/>
              <w:ind w:left="43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3.镜像管理：管理员可以提升私有镜像为公共镜像，普通用户可以分享私有镜像给其它用户；被分享的镜像保持一份拷贝，只有在同步后产生新的拷贝；系统内置tensorflow，caffe，pytorch，tensorboard等镜像；支持Intel oneAPI镜像的下载并保存到镜像仓库</w:t>
            </w:r>
          </w:p>
          <w:p>
            <w:pPr>
              <w:pStyle w:val="18"/>
              <w:spacing w:before="1" w:line="179" w:lineRule="auto"/>
              <w:ind w:left="43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4.资源管理：监控节点资源使用率，包括CPU使用率，GPU使用率，内存，硬盘等信息，并记录日志，可以在web界面上以图表方式查看历史信息；当服务器，网络，GPU卡等硬件发生异常时，Web GUI上会显示相应的异常信息，提示用户进行处理；（提供证明截图）</w:t>
            </w:r>
          </w:p>
          <w:p>
            <w:pPr>
              <w:pStyle w:val="18"/>
              <w:spacing w:before="1" w:line="179" w:lineRule="auto"/>
              <w:ind w:left="43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5.数据存储：支持NAS共享存储；支持数据上传、下载、删除、压缩、解压、复制、移动和内容浏览；支持把私有数据共享给组和用户，支持取消共享；共享的数据可以被目的用户读取和拷贝；</w:t>
            </w:r>
          </w:p>
          <w:p>
            <w:pPr>
              <w:pStyle w:val="18"/>
              <w:spacing w:before="1" w:line="179" w:lineRule="auto"/>
              <w:ind w:left="43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6.软件服务：需提供软件原厂商针对此项目的服务授权，服务年限不能低于三年，交付后需提供针对AI MAX平台线上使用培训，为保证服务，用户有权提出现场功能演示需求。</w:t>
            </w:r>
          </w:p>
          <w:p>
            <w:pPr>
              <w:pStyle w:val="18"/>
              <w:spacing w:before="1" w:line="179" w:lineRule="auto"/>
              <w:ind w:left="43"/>
              <w:rPr>
                <w:lang w:eastAsia="zh-CN"/>
              </w:rPr>
            </w:pPr>
            <w:r>
              <w:rPr>
                <w:lang w:eastAsia="zh-CN"/>
              </w:rPr>
              <w:tab/>
            </w:r>
          </w:p>
        </w:tc>
        <w:tc>
          <w:tcPr>
            <w:tcW w:w="1090" w:type="dxa"/>
          </w:tcPr>
          <w:p>
            <w:pPr>
              <w:spacing w:line="448" w:lineRule="auto"/>
              <w:rPr>
                <w:lang w:eastAsia="zh-CN"/>
              </w:rPr>
            </w:pPr>
          </w:p>
          <w:p>
            <w:pPr>
              <w:pStyle w:val="18"/>
              <w:spacing w:before="65" w:line="173" w:lineRule="auto"/>
              <w:ind w:left="288"/>
            </w:pPr>
          </w:p>
          <w:p>
            <w:pPr>
              <w:pStyle w:val="18"/>
              <w:spacing w:before="65" w:line="173" w:lineRule="auto"/>
              <w:ind w:left="288"/>
            </w:pPr>
          </w:p>
          <w:p>
            <w:pPr>
              <w:pStyle w:val="18"/>
              <w:spacing w:before="65" w:line="173" w:lineRule="auto"/>
              <w:ind w:left="288"/>
            </w:pPr>
          </w:p>
          <w:p>
            <w:pPr>
              <w:pStyle w:val="18"/>
              <w:spacing w:before="65" w:line="173" w:lineRule="auto"/>
              <w:ind w:left="288"/>
            </w:pPr>
          </w:p>
          <w:p>
            <w:pPr>
              <w:pStyle w:val="18"/>
              <w:spacing w:before="65" w:line="173" w:lineRule="auto"/>
              <w:ind w:left="288"/>
            </w:pPr>
            <w:r>
              <w:t>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975" w:type="dxa"/>
          </w:tcPr>
          <w:p>
            <w:pPr>
              <w:pStyle w:val="18"/>
              <w:spacing w:before="49" w:line="166" w:lineRule="exact"/>
              <w:ind w:left="293"/>
            </w:pPr>
            <w:r>
              <w:rPr>
                <w:spacing w:val="-2"/>
              </w:rPr>
              <w:t>电源</w:t>
            </w:r>
          </w:p>
        </w:tc>
        <w:tc>
          <w:tcPr>
            <w:tcW w:w="7331" w:type="dxa"/>
          </w:tcPr>
          <w:p>
            <w:pPr>
              <w:pStyle w:val="18"/>
              <w:spacing w:before="49" w:line="166" w:lineRule="exact"/>
              <w:ind w:left="37"/>
            </w:pPr>
            <w:r>
              <w:rPr>
                <w:rFonts w:hint="eastAsia"/>
                <w:spacing w:val="-1"/>
                <w:lang w:eastAsia="zh-CN"/>
              </w:rPr>
              <w:t xml:space="preserve">≥ </w:t>
            </w:r>
            <w:r>
              <w:rPr>
                <w:spacing w:val="-1"/>
                <w:lang w:eastAsia="zh-CN"/>
              </w:rPr>
              <w:t xml:space="preserve"> </w:t>
            </w:r>
            <w:r>
              <w:t>2000W金牌模组电源</w:t>
            </w:r>
          </w:p>
        </w:tc>
        <w:tc>
          <w:tcPr>
            <w:tcW w:w="1090" w:type="dxa"/>
          </w:tcPr>
          <w:p>
            <w:pPr>
              <w:pStyle w:val="18"/>
              <w:spacing w:before="55" w:line="160" w:lineRule="exact"/>
              <w:ind w:left="288"/>
            </w:pPr>
            <w:r>
              <w:rPr>
                <w:position w:val="-1"/>
              </w:rPr>
              <w:t>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atLeast"/>
        </w:trPr>
        <w:tc>
          <w:tcPr>
            <w:tcW w:w="975" w:type="dxa"/>
          </w:tcPr>
          <w:p>
            <w:pPr>
              <w:pStyle w:val="18"/>
              <w:spacing w:before="165" w:line="195" w:lineRule="auto"/>
              <w:ind w:left="285"/>
            </w:pPr>
            <w:r>
              <w:t>测试</w:t>
            </w:r>
          </w:p>
        </w:tc>
        <w:tc>
          <w:tcPr>
            <w:tcW w:w="7331" w:type="dxa"/>
            <w:vAlign w:val="center"/>
          </w:tcPr>
          <w:p>
            <w:pPr>
              <w:pStyle w:val="18"/>
              <w:spacing w:before="59" w:line="180" w:lineRule="auto"/>
              <w:ind w:left="31" w:right="38" w:firstLine="11"/>
              <w:jc w:val="both"/>
              <w:rPr>
                <w:rFonts w:hint="eastAsia"/>
                <w:spacing w:val="1"/>
                <w:lang w:eastAsia="zh-CN"/>
              </w:rPr>
            </w:pPr>
            <w:r>
              <w:rPr>
                <w:rFonts w:hint="eastAsia"/>
                <w:lang w:eastAsia="zh-CN"/>
              </w:rPr>
              <w:t>提供</w:t>
            </w:r>
            <w:r>
              <w:rPr>
                <w:lang w:eastAsia="zh-CN"/>
              </w:rPr>
              <w:t>出厂提供ATA系统配置确认；ATA压力测试报告；ATA功能测</w:t>
            </w:r>
            <w:r>
              <w:rPr>
                <w:spacing w:val="11"/>
                <w:w w:val="101"/>
                <w:lang w:eastAsia="zh-CN"/>
              </w:rPr>
              <w:t xml:space="preserve"> </w:t>
            </w:r>
            <w:r>
              <w:rPr>
                <w:spacing w:val="1"/>
                <w:lang w:eastAsia="zh-CN"/>
              </w:rPr>
              <w:t>试报告；</w:t>
            </w:r>
            <w:r>
              <w:rPr>
                <w:lang w:eastAsia="zh-CN"/>
              </w:rPr>
              <w:t>IPMI</w:t>
            </w:r>
            <w:r>
              <w:rPr>
                <w:spacing w:val="1"/>
                <w:lang w:eastAsia="zh-CN"/>
              </w:rPr>
              <w:t>测试报告</w:t>
            </w:r>
          </w:p>
        </w:tc>
        <w:tc>
          <w:tcPr>
            <w:tcW w:w="1090" w:type="dxa"/>
          </w:tcPr>
          <w:p>
            <w:pPr>
              <w:pStyle w:val="18"/>
              <w:spacing w:before="171" w:line="173" w:lineRule="auto"/>
              <w:ind w:left="288"/>
            </w:pPr>
            <w:r>
              <w:t>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975" w:type="dxa"/>
          </w:tcPr>
          <w:p>
            <w:pPr>
              <w:pStyle w:val="18"/>
              <w:spacing w:before="50" w:line="165" w:lineRule="exact"/>
              <w:ind w:left="285"/>
            </w:pPr>
            <w:r>
              <w:t>保修</w:t>
            </w:r>
          </w:p>
        </w:tc>
        <w:tc>
          <w:tcPr>
            <w:tcW w:w="7331" w:type="dxa"/>
          </w:tcPr>
          <w:p>
            <w:pPr>
              <w:pStyle w:val="18"/>
              <w:spacing w:before="50" w:line="165" w:lineRule="exact"/>
              <w:ind w:left="39"/>
              <w:rPr>
                <w:lang w:eastAsia="zh-CN"/>
              </w:rPr>
            </w:pPr>
            <w:r>
              <w:rPr>
                <w:lang w:eastAsia="zh-CN"/>
              </w:rPr>
              <w:t>3年整机产品质保，具备远程机器检测能力</w:t>
            </w:r>
          </w:p>
        </w:tc>
        <w:tc>
          <w:tcPr>
            <w:tcW w:w="1090" w:type="dxa"/>
          </w:tcPr>
          <w:p>
            <w:pPr>
              <w:pStyle w:val="18"/>
              <w:spacing w:before="56" w:line="158" w:lineRule="exact"/>
              <w:ind w:left="288"/>
            </w:pPr>
            <w:r>
              <w:rPr>
                <w:position w:val="-1"/>
              </w:rPr>
              <w:t>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 w:hRule="atLeast"/>
        </w:trPr>
        <w:tc>
          <w:tcPr>
            <w:tcW w:w="975" w:type="dxa"/>
          </w:tcPr>
          <w:p>
            <w:pPr>
              <w:pStyle w:val="18"/>
              <w:spacing w:before="50" w:line="165" w:lineRule="exact"/>
              <w:ind w:left="285"/>
            </w:pPr>
            <w:r>
              <w:t>证书</w:t>
            </w:r>
          </w:p>
        </w:tc>
        <w:tc>
          <w:tcPr>
            <w:tcW w:w="7331" w:type="dxa"/>
          </w:tcPr>
          <w:p>
            <w:pPr>
              <w:pStyle w:val="18"/>
              <w:spacing w:before="50" w:line="165" w:lineRule="exact"/>
              <w:ind w:left="39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生产厂商需通过ISO9001、ISO14001质量管理体系认证、3C 认证</w:t>
            </w:r>
          </w:p>
        </w:tc>
        <w:tc>
          <w:tcPr>
            <w:tcW w:w="1090" w:type="dxa"/>
          </w:tcPr>
          <w:p>
            <w:pPr>
              <w:pStyle w:val="18"/>
              <w:spacing w:before="56" w:line="158" w:lineRule="exact"/>
              <w:ind w:left="288"/>
              <w:rPr>
                <w:position w:val="-1"/>
                <w:lang w:eastAsia="zh-CN"/>
              </w:rPr>
            </w:pPr>
            <w:r>
              <w:rPr>
                <w:rFonts w:hint="eastAsia"/>
                <w:position w:val="-1"/>
                <w:lang w:eastAsia="zh-CN"/>
              </w:rPr>
              <w:t>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975" w:type="dxa"/>
          </w:tcPr>
          <w:p>
            <w:pPr>
              <w:pStyle w:val="18"/>
              <w:spacing w:before="165" w:line="197" w:lineRule="auto"/>
              <w:ind w:left="286"/>
              <w:rPr>
                <w:spacing w:val="-1"/>
                <w:lang w:eastAsia="zh-CN"/>
              </w:rPr>
            </w:pPr>
          </w:p>
          <w:p>
            <w:pPr>
              <w:pStyle w:val="18"/>
              <w:spacing w:before="165" w:line="197" w:lineRule="auto"/>
              <w:ind w:left="286"/>
              <w:rPr>
                <w:spacing w:val="-1"/>
              </w:rPr>
            </w:pPr>
            <w:r>
              <w:rPr>
                <w:rFonts w:hint="eastAsia"/>
                <w:spacing w:val="-1"/>
                <w:lang w:eastAsia="zh-CN"/>
              </w:rPr>
              <w:t>其他</w:t>
            </w:r>
          </w:p>
        </w:tc>
        <w:tc>
          <w:tcPr>
            <w:tcW w:w="7331" w:type="dxa"/>
          </w:tcPr>
          <w:p>
            <w:pPr>
              <w:pStyle w:val="18"/>
              <w:spacing w:before="61" w:line="179" w:lineRule="auto"/>
              <w:ind w:left="30" w:right="38"/>
              <w:rPr>
                <w:spacing w:val="1"/>
                <w:lang w:eastAsia="zh-CN"/>
              </w:rPr>
            </w:pPr>
            <w:r>
              <w:rPr>
                <w:rFonts w:hint="eastAsia"/>
                <w:spacing w:val="1"/>
                <w:lang w:eastAsia="zh-CN"/>
              </w:rPr>
              <w:t>• 5stageQA至少包括24小时负载99%的耐高温测试，75小时不宕机测试等</w:t>
            </w:r>
          </w:p>
          <w:p>
            <w:pPr>
              <w:pStyle w:val="18"/>
              <w:spacing w:before="61" w:line="179" w:lineRule="auto"/>
              <w:ind w:left="30" w:right="38"/>
              <w:rPr>
                <w:spacing w:val="1"/>
                <w:lang w:eastAsia="zh-CN"/>
              </w:rPr>
            </w:pPr>
            <w:r>
              <w:rPr>
                <w:rFonts w:hint="eastAsia"/>
                <w:spacing w:val="1"/>
                <w:lang w:eastAsia="zh-CN"/>
              </w:rPr>
              <w:t>• Burn in 和 function test机器稳定性和散热的测试</w:t>
            </w:r>
          </w:p>
          <w:p>
            <w:pPr>
              <w:pStyle w:val="18"/>
              <w:spacing w:before="61" w:line="179" w:lineRule="auto"/>
              <w:ind w:left="30" w:right="38"/>
              <w:rPr>
                <w:spacing w:val="1"/>
                <w:lang w:eastAsia="zh-CN"/>
              </w:rPr>
            </w:pPr>
            <w:r>
              <w:rPr>
                <w:rFonts w:hint="eastAsia"/>
                <w:spacing w:val="1"/>
                <w:lang w:eastAsia="zh-CN"/>
              </w:rPr>
              <w:t>• Memory Testing 内存测试报告</w:t>
            </w:r>
          </w:p>
          <w:p>
            <w:pPr>
              <w:pStyle w:val="18"/>
              <w:spacing w:before="61" w:line="179" w:lineRule="auto"/>
              <w:ind w:left="30" w:right="38"/>
              <w:rPr>
                <w:spacing w:val="1"/>
                <w:lang w:eastAsia="zh-CN"/>
              </w:rPr>
            </w:pPr>
            <w:r>
              <w:rPr>
                <w:rFonts w:hint="eastAsia"/>
                <w:spacing w:val="1"/>
                <w:lang w:eastAsia="zh-CN"/>
              </w:rPr>
              <w:t>• 操作系统系统安装以及稳定性测试报告</w:t>
            </w:r>
          </w:p>
          <w:p>
            <w:pPr>
              <w:pStyle w:val="18"/>
              <w:spacing w:before="61" w:line="179" w:lineRule="auto"/>
              <w:ind w:left="30" w:right="38"/>
              <w:rPr>
                <w:spacing w:val="1"/>
                <w:lang w:eastAsia="zh-CN"/>
              </w:rPr>
            </w:pPr>
            <w:r>
              <w:rPr>
                <w:rFonts w:hint="eastAsia"/>
                <w:spacing w:val="1"/>
                <w:lang w:eastAsia="zh-CN"/>
              </w:rPr>
              <w:t>• 原厂产品3年质保, 质保期间含7x24x4上门服务</w:t>
            </w:r>
          </w:p>
        </w:tc>
        <w:tc>
          <w:tcPr>
            <w:tcW w:w="1090" w:type="dxa"/>
          </w:tcPr>
          <w:p>
            <w:pPr>
              <w:pStyle w:val="18"/>
              <w:spacing w:before="172" w:line="173" w:lineRule="auto"/>
              <w:ind w:left="288"/>
              <w:rPr>
                <w:lang w:eastAsia="zh-CN"/>
              </w:rPr>
            </w:pPr>
          </w:p>
          <w:p>
            <w:pPr>
              <w:pStyle w:val="18"/>
              <w:spacing w:before="172" w:line="173" w:lineRule="auto"/>
              <w:ind w:left="288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</w:t>
            </w:r>
          </w:p>
        </w:tc>
      </w:tr>
    </w:tbl>
    <w:p>
      <w:pPr>
        <w:pStyle w:val="17"/>
        <w:widowControl w:val="0"/>
        <w:numPr>
          <w:ilvl w:val="0"/>
          <w:numId w:val="0"/>
        </w:numPr>
        <w:autoSpaceDE w:val="0"/>
        <w:autoSpaceDN w:val="0"/>
        <w:adjustRightInd w:val="0"/>
        <w:spacing w:line="560" w:lineRule="exact"/>
        <w:jc w:val="both"/>
        <w:rPr>
          <w:rFonts w:hint="eastAsia" w:ascii="Times New Roman" w:hAnsi="Times New Roman" w:eastAsia="黑体"/>
          <w:color w:val="auto"/>
          <w:sz w:val="28"/>
          <w:szCs w:val="28"/>
          <w:highlight w:val="none"/>
          <w:lang w:eastAsia="zh-CN"/>
        </w:rPr>
      </w:pPr>
    </w:p>
    <w:p>
      <w:pPr>
        <w:spacing w:line="560" w:lineRule="exact"/>
        <w:ind w:firstLine="840" w:firstLineChars="300"/>
        <w:rPr>
          <w:rFonts w:eastAsia="黑体"/>
          <w:color w:val="auto"/>
          <w:sz w:val="28"/>
          <w:szCs w:val="28"/>
          <w:highlight w:val="none"/>
        </w:rPr>
      </w:pPr>
      <w:r>
        <w:rPr>
          <w:rFonts w:hint="eastAsia" w:eastAsia="黑体"/>
          <w:color w:val="auto"/>
          <w:sz w:val="28"/>
          <w:szCs w:val="28"/>
          <w:highlight w:val="none"/>
        </w:rPr>
        <w:t>三、</w:t>
      </w:r>
      <w:r>
        <w:rPr>
          <w:rFonts w:eastAsia="黑体"/>
          <w:color w:val="auto"/>
          <w:sz w:val="28"/>
          <w:szCs w:val="28"/>
          <w:highlight w:val="none"/>
        </w:rPr>
        <w:t>商务要求</w:t>
      </w:r>
    </w:p>
    <w:p>
      <w:pPr>
        <w:pStyle w:val="17"/>
        <w:widowControl w:val="0"/>
        <w:spacing w:line="560" w:lineRule="exact"/>
        <w:ind w:left="11" w:firstLine="560" w:firstLineChars="200"/>
        <w:jc w:val="both"/>
        <w:rPr>
          <w:rFonts w:ascii="Times New Roman" w:hAnsi="宋体"/>
          <w:color w:val="auto"/>
          <w:sz w:val="28"/>
          <w:szCs w:val="28"/>
          <w:highlight w:val="none"/>
          <w:lang w:eastAsia="zh-CN"/>
        </w:rPr>
      </w:pPr>
      <w:r>
        <w:rPr>
          <w:rFonts w:ascii="Times New Roman" w:hAnsi="宋体"/>
          <w:color w:val="auto"/>
          <w:sz w:val="28"/>
          <w:szCs w:val="28"/>
          <w:highlight w:val="none"/>
          <w:lang w:val="zh-CN" w:eastAsia="zh-CN"/>
        </w:rPr>
        <w:t>（一）</w:t>
      </w:r>
      <w:r>
        <w:rPr>
          <w:rFonts w:ascii="Times New Roman" w:hAnsi="宋体"/>
          <w:color w:val="auto"/>
          <w:sz w:val="28"/>
          <w:szCs w:val="28"/>
          <w:highlight w:val="none"/>
          <w:lang w:eastAsia="zh-CN"/>
        </w:rPr>
        <w:t>交货时间、地点与方式</w:t>
      </w:r>
    </w:p>
    <w:p>
      <w:pPr>
        <w:pStyle w:val="17"/>
        <w:spacing w:line="560" w:lineRule="exact"/>
        <w:ind w:left="11" w:firstLine="560" w:firstLineChars="200"/>
        <w:rPr>
          <w:rFonts w:ascii="Times New Roman" w:hAnsi="宋体"/>
          <w:color w:val="auto"/>
          <w:sz w:val="28"/>
          <w:szCs w:val="28"/>
          <w:highlight w:val="none"/>
          <w:lang w:eastAsia="zh-CN"/>
        </w:rPr>
      </w:pPr>
      <w:r>
        <w:rPr>
          <w:rFonts w:hint="eastAsia" w:ascii="宋体" w:hAnsi="宋体" w:cs="宋体"/>
          <w:color w:val="auto"/>
          <w:sz w:val="28"/>
          <w:szCs w:val="28"/>
          <w:highlight w:val="none"/>
          <w:lang w:eastAsia="zh-CN"/>
        </w:rPr>
        <w:t>1.</w:t>
      </w:r>
      <w:r>
        <w:rPr>
          <w:rFonts w:hint="eastAsia" w:ascii="Times New Roman" w:hAnsi="宋体"/>
          <w:color w:val="auto"/>
          <w:sz w:val="28"/>
          <w:szCs w:val="28"/>
          <w:highlight w:val="none"/>
          <w:lang w:eastAsia="zh-CN"/>
        </w:rPr>
        <w:t>交货地点：</w:t>
      </w:r>
      <w:r>
        <w:rPr>
          <w:rFonts w:hint="eastAsia" w:ascii="Times New Roman" w:hAnsi="宋体"/>
          <w:color w:val="auto"/>
          <w:sz w:val="28"/>
          <w:szCs w:val="28"/>
          <w:highlight w:val="none"/>
          <w:u w:val="single"/>
          <w:lang w:eastAsia="zh-CN"/>
        </w:rPr>
        <w:t xml:space="preserve"> </w:t>
      </w:r>
      <w:r>
        <w:rPr>
          <w:rFonts w:hint="eastAsia" w:ascii="Times New Roman" w:hAnsi="宋体"/>
          <w:color w:val="auto"/>
          <w:sz w:val="28"/>
          <w:szCs w:val="28"/>
          <w:u w:val="single"/>
          <w:lang w:eastAsia="zh-CN"/>
        </w:rPr>
        <w:t>医院指定地点交货</w:t>
      </w:r>
      <w:r>
        <w:rPr>
          <w:rFonts w:hint="eastAsia" w:ascii="Times New Roman" w:hAnsi="宋体"/>
          <w:color w:val="auto"/>
          <w:sz w:val="28"/>
          <w:szCs w:val="28"/>
          <w:highlight w:val="none"/>
          <w:u w:val="single"/>
          <w:lang w:eastAsia="zh-CN"/>
        </w:rPr>
        <w:t xml:space="preserve"> </w:t>
      </w:r>
      <w:r>
        <w:rPr>
          <w:rFonts w:hint="eastAsia" w:ascii="Times New Roman" w:hAnsi="宋体"/>
          <w:color w:val="auto"/>
          <w:sz w:val="28"/>
          <w:szCs w:val="28"/>
          <w:highlight w:val="none"/>
          <w:lang w:eastAsia="zh-CN"/>
        </w:rPr>
        <w:t>。</w:t>
      </w:r>
    </w:p>
    <w:p>
      <w:pPr>
        <w:pStyle w:val="17"/>
        <w:spacing w:line="560" w:lineRule="exact"/>
        <w:ind w:left="11" w:firstLine="560" w:firstLineChars="200"/>
        <w:rPr>
          <w:rFonts w:ascii="Times New Roman" w:hAnsi="宋体"/>
          <w:color w:val="auto"/>
          <w:sz w:val="28"/>
          <w:szCs w:val="28"/>
          <w:highlight w:val="none"/>
          <w:lang w:eastAsia="zh-CN"/>
        </w:rPr>
      </w:pPr>
      <w:r>
        <w:rPr>
          <w:rFonts w:hint="eastAsia" w:ascii="宋体" w:hAnsi="宋体" w:cs="宋体"/>
          <w:color w:val="auto"/>
          <w:sz w:val="28"/>
          <w:szCs w:val="28"/>
          <w:highlight w:val="none"/>
          <w:lang w:eastAsia="zh-CN"/>
        </w:rPr>
        <w:t>2.</w:t>
      </w:r>
      <w:r>
        <w:rPr>
          <w:rFonts w:hint="eastAsia" w:ascii="Times New Roman" w:hAnsi="宋体"/>
          <w:color w:val="auto"/>
          <w:sz w:val="28"/>
          <w:szCs w:val="28"/>
          <w:highlight w:val="none"/>
          <w:lang w:eastAsia="zh-CN"/>
        </w:rPr>
        <w:t>交货期：合同签订后</w:t>
      </w:r>
      <w:r>
        <w:rPr>
          <w:rFonts w:hint="eastAsia" w:ascii="Times New Roman" w:hAnsi="宋体"/>
          <w:color w:val="auto"/>
          <w:sz w:val="28"/>
          <w:szCs w:val="28"/>
          <w:highlight w:val="none"/>
          <w:lang w:val="en-US" w:eastAsia="zh-CN"/>
        </w:rPr>
        <w:t>半个</w:t>
      </w:r>
      <w:r>
        <w:rPr>
          <w:rFonts w:hint="eastAsia" w:ascii="Times New Roman" w:hAnsi="宋体"/>
          <w:color w:val="auto"/>
          <w:sz w:val="28"/>
          <w:szCs w:val="28"/>
          <w:highlight w:val="none"/>
          <w:lang w:eastAsia="zh-CN"/>
        </w:rPr>
        <w:t>月内，完成设备供货和安装调试。</w:t>
      </w:r>
    </w:p>
    <w:p>
      <w:pPr>
        <w:pStyle w:val="17"/>
        <w:widowControl w:val="0"/>
        <w:spacing w:line="560" w:lineRule="exact"/>
        <w:ind w:left="11" w:firstLine="560" w:firstLineChars="200"/>
        <w:jc w:val="both"/>
        <w:rPr>
          <w:rFonts w:hint="eastAsia" w:ascii="Times New Roman" w:hAnsi="宋体"/>
          <w:color w:val="auto"/>
          <w:sz w:val="28"/>
          <w:szCs w:val="28"/>
          <w:highlight w:val="none"/>
          <w:lang w:eastAsia="zh-CN"/>
        </w:rPr>
      </w:pPr>
      <w:r>
        <w:rPr>
          <w:rFonts w:hint="eastAsia" w:ascii="宋体" w:hAnsi="宋体" w:cs="宋体"/>
          <w:color w:val="auto"/>
          <w:sz w:val="28"/>
          <w:szCs w:val="28"/>
          <w:highlight w:val="none"/>
          <w:lang w:eastAsia="zh-CN"/>
        </w:rPr>
        <w:t>3.</w:t>
      </w:r>
      <w:r>
        <w:rPr>
          <w:rFonts w:hint="eastAsia" w:ascii="Times New Roman" w:hAnsi="宋体"/>
          <w:color w:val="auto"/>
          <w:sz w:val="28"/>
          <w:szCs w:val="28"/>
          <w:highlight w:val="none"/>
          <w:lang w:eastAsia="zh-CN"/>
        </w:rPr>
        <w:t>交货方式：</w:t>
      </w:r>
      <w:r>
        <w:rPr>
          <w:rFonts w:hint="eastAsia" w:ascii="Times New Roman" w:hAnsi="宋体"/>
          <w:color w:val="auto"/>
          <w:sz w:val="28"/>
          <w:szCs w:val="28"/>
          <w:highlight w:val="none"/>
          <w:u w:val="single"/>
          <w:lang w:eastAsia="zh-CN"/>
        </w:rPr>
        <w:t xml:space="preserve"> </w:t>
      </w:r>
      <w:r>
        <w:rPr>
          <w:rFonts w:hint="eastAsia" w:ascii="Times New Roman" w:hAnsi="宋体"/>
          <w:color w:val="auto"/>
          <w:sz w:val="28"/>
          <w:szCs w:val="28"/>
          <w:u w:val="single"/>
          <w:lang w:eastAsia="zh-CN"/>
        </w:rPr>
        <w:t>根据用户场地安排，送货上门</w:t>
      </w:r>
      <w:r>
        <w:rPr>
          <w:rFonts w:hint="eastAsia" w:ascii="Times New Roman" w:hAnsi="宋体"/>
          <w:color w:val="auto"/>
          <w:sz w:val="28"/>
          <w:szCs w:val="28"/>
          <w:highlight w:val="none"/>
          <w:u w:val="single"/>
          <w:lang w:eastAsia="zh-CN"/>
        </w:rPr>
        <w:t xml:space="preserve"> </w:t>
      </w:r>
      <w:r>
        <w:rPr>
          <w:rFonts w:hint="eastAsia" w:ascii="Times New Roman" w:hAnsi="宋体"/>
          <w:color w:val="auto"/>
          <w:sz w:val="28"/>
          <w:szCs w:val="28"/>
          <w:highlight w:val="none"/>
          <w:lang w:eastAsia="zh-CN"/>
        </w:rPr>
        <w:t>。</w:t>
      </w:r>
    </w:p>
    <w:p>
      <w:pPr>
        <w:pStyle w:val="17"/>
        <w:widowControl w:val="0"/>
        <w:spacing w:line="560" w:lineRule="exact"/>
        <w:ind w:left="11" w:firstLine="560" w:firstLineChars="200"/>
        <w:jc w:val="both"/>
        <w:rPr>
          <w:rFonts w:hint="eastAsia" w:ascii="Times New Roman" w:hAnsi="宋体"/>
          <w:color w:val="auto"/>
          <w:sz w:val="28"/>
          <w:szCs w:val="28"/>
          <w:highlight w:val="none"/>
          <w:lang w:eastAsia="zh-CN"/>
        </w:rPr>
      </w:pPr>
      <w:r>
        <w:rPr>
          <w:rFonts w:hint="eastAsia" w:ascii="Times New Roman" w:hAnsi="宋体"/>
          <w:color w:val="auto"/>
          <w:sz w:val="28"/>
          <w:szCs w:val="28"/>
          <w:highlight w:val="none"/>
          <w:lang w:val="en-US" w:eastAsia="zh-CN"/>
        </w:rPr>
        <w:t xml:space="preserve">4. </w:t>
      </w:r>
      <w:r>
        <w:rPr>
          <w:rFonts w:hint="eastAsia" w:ascii="Times New Roman" w:hAnsi="宋体"/>
          <w:color w:val="auto"/>
          <w:sz w:val="28"/>
          <w:szCs w:val="28"/>
          <w:highlight w:val="none"/>
          <w:lang w:eastAsia="zh-CN"/>
        </w:rPr>
        <w:t>验收工期：乙方应在合同生效</w:t>
      </w:r>
      <w:r>
        <w:rPr>
          <w:rFonts w:hint="eastAsia" w:ascii="Times New Roman" w:hAnsi="宋体"/>
          <w:color w:val="auto"/>
          <w:sz w:val="28"/>
          <w:szCs w:val="28"/>
          <w:highlight w:val="none"/>
          <w:lang w:val="en-US" w:eastAsia="zh-CN"/>
        </w:rPr>
        <w:t>半个</w:t>
      </w:r>
      <w:r>
        <w:rPr>
          <w:rFonts w:hint="eastAsia" w:ascii="Times New Roman" w:hAnsi="宋体"/>
          <w:color w:val="auto"/>
          <w:sz w:val="28"/>
          <w:szCs w:val="28"/>
          <w:highlight w:val="none"/>
          <w:lang w:eastAsia="zh-CN"/>
        </w:rPr>
        <w:t>月内设备供货和安装调试工作，并提交甲方验收。如验收不合格，视为延期。因乙方原因未能按期验收并签署验收报告时，按照延期天数，每日乙方向甲方支付合同金额万分之五作为违约金。如因延期超过工期50%导致合同目的无法实现，甲方有权解除合同，乙方同意退回甲方已支付全部款项。</w:t>
      </w:r>
    </w:p>
    <w:p>
      <w:pPr>
        <w:pStyle w:val="17"/>
        <w:widowControl w:val="0"/>
        <w:spacing w:line="560" w:lineRule="exact"/>
        <w:ind w:left="11" w:firstLine="560" w:firstLineChars="200"/>
        <w:jc w:val="both"/>
        <w:rPr>
          <w:rFonts w:ascii="Times New Roman" w:hAnsi="Times New Roman"/>
          <w:color w:val="auto"/>
          <w:sz w:val="28"/>
          <w:szCs w:val="28"/>
          <w:lang w:eastAsia="zh-CN"/>
        </w:rPr>
      </w:pPr>
      <w:r>
        <w:rPr>
          <w:rFonts w:ascii="Times New Roman" w:hAnsi="宋体"/>
          <w:color w:val="auto"/>
          <w:sz w:val="28"/>
          <w:szCs w:val="28"/>
          <w:lang w:val="zh-CN" w:eastAsia="zh-CN"/>
        </w:rPr>
        <w:t>（二）</w:t>
      </w:r>
      <w:r>
        <w:rPr>
          <w:rFonts w:ascii="Times New Roman" w:hAnsi="宋体"/>
          <w:color w:val="auto"/>
          <w:sz w:val="28"/>
          <w:szCs w:val="28"/>
          <w:lang w:eastAsia="zh-CN"/>
        </w:rPr>
        <w:t>售后服务</w:t>
      </w:r>
    </w:p>
    <w:p>
      <w:pPr>
        <w:tabs>
          <w:tab w:val="left" w:pos="0"/>
        </w:tabs>
        <w:autoSpaceDE w:val="0"/>
        <w:autoSpaceDN w:val="0"/>
        <w:adjustRightInd w:val="0"/>
        <w:spacing w:line="560" w:lineRule="exact"/>
        <w:ind w:firstLine="560"/>
        <w:rPr>
          <w:rFonts w:ascii="宋体" w:hAnsi="宋体"/>
          <w:color w:val="auto"/>
          <w:sz w:val="28"/>
          <w:szCs w:val="28"/>
        </w:rPr>
      </w:pPr>
      <w:r>
        <w:rPr>
          <w:rFonts w:ascii="宋体" w:hAnsi="宋体"/>
          <w:color w:val="auto"/>
          <w:sz w:val="28"/>
          <w:szCs w:val="28"/>
          <w:lang w:val="zh-CN"/>
        </w:rPr>
        <w:t>1.质量保证期：</w:t>
      </w:r>
      <w:r>
        <w:rPr>
          <w:rFonts w:hint="eastAsia" w:ascii="宋体" w:hAnsi="宋体"/>
          <w:color w:val="auto"/>
          <w:sz w:val="28"/>
          <w:szCs w:val="28"/>
        </w:rPr>
        <w:t>自交货</w:t>
      </w:r>
      <w:r>
        <w:rPr>
          <w:rFonts w:hint="eastAsia" w:ascii="宋体" w:hAnsi="宋体"/>
          <w:color w:val="auto"/>
          <w:sz w:val="28"/>
          <w:szCs w:val="28"/>
          <w:lang w:val="en-US" w:eastAsia="zh-CN"/>
        </w:rPr>
        <w:t>签收</w:t>
      </w:r>
      <w:r>
        <w:rPr>
          <w:rFonts w:hint="eastAsia" w:ascii="宋体" w:hAnsi="宋体"/>
          <w:color w:val="auto"/>
          <w:sz w:val="28"/>
          <w:szCs w:val="28"/>
        </w:rPr>
        <w:t>完毕之日算起，所有产品质保</w:t>
      </w:r>
      <w:r>
        <w:rPr>
          <w:rFonts w:hint="eastAsia" w:ascii="宋体" w:hAnsi="宋体"/>
          <w:color w:val="auto"/>
          <w:sz w:val="28"/>
          <w:szCs w:val="28"/>
          <w:u w:val="single"/>
        </w:rPr>
        <w:t>≥</w:t>
      </w:r>
      <w:r>
        <w:rPr>
          <w:rFonts w:hint="eastAsia" w:ascii="宋体" w:hAnsi="宋体"/>
          <w:color w:val="auto"/>
          <w:sz w:val="28"/>
          <w:szCs w:val="28"/>
          <w:u w:val="single"/>
          <w:lang w:val="en-US" w:eastAsia="zh-CN"/>
        </w:rPr>
        <w:t>36</w:t>
      </w:r>
      <w:r>
        <w:rPr>
          <w:rFonts w:hint="eastAsia" w:ascii="宋体" w:hAnsi="宋体"/>
          <w:color w:val="auto"/>
          <w:sz w:val="28"/>
          <w:szCs w:val="28"/>
        </w:rPr>
        <w:t>个月。投标供应商对提供的货物在质保期内，因产品质量而导致的缺陷，必须免费提供包修、包换、包退服务，因此导致的损失采购单位有权向中标供应商追偿。超出质保期后，供应商应当提供上门维修服务，仅收取成本费。</w:t>
      </w:r>
    </w:p>
    <w:p>
      <w:pPr>
        <w:tabs>
          <w:tab w:val="left" w:pos="0"/>
        </w:tabs>
        <w:autoSpaceDE w:val="0"/>
        <w:autoSpaceDN w:val="0"/>
        <w:adjustRightInd w:val="0"/>
        <w:spacing w:line="560" w:lineRule="exact"/>
        <w:ind w:firstLine="560"/>
        <w:rPr>
          <w:rFonts w:ascii="宋体" w:hAnsi="宋体"/>
          <w:color w:val="auto"/>
          <w:sz w:val="28"/>
          <w:szCs w:val="28"/>
        </w:rPr>
      </w:pPr>
      <w:r>
        <w:rPr>
          <w:rFonts w:ascii="宋体" w:hAnsi="宋体"/>
          <w:color w:val="auto"/>
          <w:sz w:val="28"/>
          <w:szCs w:val="28"/>
        </w:rPr>
        <w:t>2.</w:t>
      </w:r>
      <w:r>
        <w:rPr>
          <w:rFonts w:hint="eastAsia" w:ascii="宋体" w:hAnsi="宋体"/>
          <w:color w:val="auto"/>
          <w:sz w:val="28"/>
          <w:szCs w:val="28"/>
          <w:lang w:val="zh-CN"/>
        </w:rPr>
        <w:t>投标供应商须承诺履行军事保密义务，在军事行动中提供应急支援保障服务，保障服务内容包括</w:t>
      </w:r>
      <w:r>
        <w:rPr>
          <w:rFonts w:hint="eastAsia" w:ascii="宋体" w:hAnsi="宋体"/>
          <w:color w:val="auto"/>
          <w:sz w:val="28"/>
          <w:szCs w:val="28"/>
          <w:u w:val="none"/>
          <w:lang w:val="zh-CN"/>
        </w:rPr>
        <w:t xml:space="preserve"> 设备紧急维修、维护、提供备用品 </w:t>
      </w:r>
      <w:r>
        <w:rPr>
          <w:rFonts w:hint="eastAsia" w:ascii="宋体" w:hAnsi="宋体"/>
          <w:color w:val="auto"/>
          <w:sz w:val="28"/>
          <w:szCs w:val="28"/>
          <w:lang w:val="zh-CN"/>
        </w:rPr>
        <w:t>。</w:t>
      </w:r>
    </w:p>
    <w:p>
      <w:pPr>
        <w:tabs>
          <w:tab w:val="left" w:pos="0"/>
        </w:tabs>
        <w:autoSpaceDE w:val="0"/>
        <w:autoSpaceDN w:val="0"/>
        <w:adjustRightInd w:val="0"/>
        <w:spacing w:line="560" w:lineRule="exact"/>
        <w:ind w:firstLine="560"/>
        <w:rPr>
          <w:rFonts w:ascii="宋体" w:hAnsi="宋体"/>
          <w:color w:val="auto"/>
          <w:sz w:val="28"/>
          <w:szCs w:val="28"/>
          <w:lang w:val="zh-CN"/>
        </w:rPr>
      </w:pPr>
      <w:r>
        <w:rPr>
          <w:rFonts w:hint="eastAsia" w:ascii="宋体" w:hAnsi="宋体"/>
          <w:color w:val="auto"/>
          <w:sz w:val="28"/>
          <w:szCs w:val="28"/>
        </w:rPr>
        <w:t>3</w:t>
      </w:r>
      <w:r>
        <w:rPr>
          <w:rFonts w:ascii="宋体" w:hAnsi="宋体"/>
          <w:color w:val="auto"/>
          <w:sz w:val="28"/>
          <w:szCs w:val="28"/>
        </w:rPr>
        <w:t>.</w:t>
      </w:r>
      <w:r>
        <w:rPr>
          <w:rFonts w:ascii="宋体" w:hAnsi="宋体"/>
          <w:color w:val="auto"/>
          <w:sz w:val="28"/>
          <w:szCs w:val="28"/>
          <w:lang w:val="zh-CN"/>
        </w:rPr>
        <w:t>投标供应商须</w:t>
      </w:r>
      <w:r>
        <w:rPr>
          <w:rFonts w:hint="eastAsia" w:ascii="宋体" w:hAnsi="宋体"/>
          <w:color w:val="auto"/>
          <w:sz w:val="28"/>
          <w:szCs w:val="28"/>
          <w:lang w:val="zh-CN"/>
        </w:rPr>
        <w:t>承诺</w:t>
      </w:r>
      <w:r>
        <w:rPr>
          <w:rFonts w:ascii="宋体" w:hAnsi="宋体"/>
          <w:color w:val="auto"/>
          <w:sz w:val="28"/>
          <w:szCs w:val="28"/>
          <w:lang w:val="zh-CN"/>
        </w:rPr>
        <w:t>提供该货物的技术培训</w:t>
      </w:r>
      <w:r>
        <w:rPr>
          <w:rFonts w:hint="eastAsia" w:ascii="宋体" w:hAnsi="宋体"/>
          <w:color w:val="auto"/>
          <w:sz w:val="28"/>
          <w:szCs w:val="28"/>
          <w:lang w:val="zh-CN"/>
        </w:rPr>
        <w:t>、</w:t>
      </w:r>
      <w:r>
        <w:rPr>
          <w:rFonts w:ascii="宋体" w:hAnsi="宋体"/>
          <w:color w:val="auto"/>
          <w:sz w:val="28"/>
          <w:szCs w:val="28"/>
          <w:lang w:val="zh-CN"/>
        </w:rPr>
        <w:t>技术支持</w:t>
      </w:r>
      <w:r>
        <w:rPr>
          <w:rFonts w:hint="eastAsia" w:ascii="宋体" w:hAnsi="宋体"/>
          <w:color w:val="auto"/>
          <w:sz w:val="28"/>
          <w:szCs w:val="28"/>
          <w:lang w:val="zh-CN"/>
        </w:rPr>
        <w:t>和维修巡检服务，服务内容包括</w:t>
      </w:r>
      <w:r>
        <w:rPr>
          <w:rFonts w:hint="eastAsia" w:ascii="宋体" w:hAnsi="宋体"/>
          <w:color w:val="auto"/>
          <w:sz w:val="28"/>
          <w:szCs w:val="28"/>
          <w:u w:val="none"/>
          <w:lang w:val="zh-CN"/>
        </w:rPr>
        <w:t xml:space="preserve">临床使用培训、设备巡检、设备调试、设备维修  </w:t>
      </w:r>
      <w:r>
        <w:rPr>
          <w:rFonts w:hint="eastAsia" w:ascii="宋体" w:hAnsi="宋体"/>
          <w:color w:val="auto"/>
          <w:sz w:val="28"/>
          <w:szCs w:val="28"/>
          <w:lang w:val="zh-CN"/>
        </w:rPr>
        <w:t>，并在投标文件中提供相应书面方案。根据项目情况，提供产品建档计划等。</w:t>
      </w:r>
    </w:p>
    <w:p>
      <w:pPr>
        <w:tabs>
          <w:tab w:val="left" w:pos="0"/>
        </w:tabs>
        <w:autoSpaceDE w:val="0"/>
        <w:autoSpaceDN w:val="0"/>
        <w:adjustRightInd w:val="0"/>
        <w:spacing w:line="560" w:lineRule="exact"/>
        <w:ind w:firstLine="560"/>
        <w:rPr>
          <w:rFonts w:ascii="宋体" w:hAnsi="宋体"/>
          <w:color w:val="auto"/>
          <w:sz w:val="28"/>
          <w:szCs w:val="28"/>
          <w:lang w:val="zh-CN"/>
        </w:rPr>
      </w:pPr>
      <w:r>
        <w:rPr>
          <w:rFonts w:hint="eastAsia" w:ascii="宋体" w:hAnsi="宋体"/>
          <w:color w:val="auto"/>
          <w:sz w:val="28"/>
          <w:szCs w:val="28"/>
          <w:lang w:val="zh-CN"/>
        </w:rPr>
        <w:t>4</w:t>
      </w:r>
      <w:r>
        <w:rPr>
          <w:rFonts w:ascii="宋体" w:hAnsi="宋体"/>
          <w:color w:val="auto"/>
          <w:sz w:val="28"/>
          <w:szCs w:val="28"/>
          <w:lang w:val="zh-CN"/>
        </w:rPr>
        <w:t>.</w:t>
      </w:r>
      <w:r>
        <w:rPr>
          <w:rFonts w:hint="eastAsia" w:ascii="宋体" w:hAnsi="宋体"/>
          <w:color w:val="auto"/>
          <w:sz w:val="28"/>
          <w:szCs w:val="28"/>
          <w:lang w:val="zh-CN"/>
        </w:rPr>
        <w:t>投标供应商须承诺，对售后服务需求提供</w:t>
      </w:r>
      <w:r>
        <w:rPr>
          <w:rFonts w:hint="eastAsia" w:ascii="宋体" w:hAnsi="宋体"/>
          <w:color w:val="auto"/>
          <w:sz w:val="28"/>
          <w:szCs w:val="28"/>
          <w:u w:val="single"/>
          <w:lang w:val="zh-CN"/>
        </w:rPr>
        <w:t xml:space="preserve"> </w:t>
      </w:r>
      <w:r>
        <w:rPr>
          <w:rFonts w:hint="eastAsia" w:ascii="宋体" w:hAnsi="宋体"/>
          <w:color w:val="auto"/>
          <w:sz w:val="28"/>
          <w:szCs w:val="28"/>
          <w:u w:val="single"/>
        </w:rPr>
        <w:t xml:space="preserve">4 </w:t>
      </w:r>
      <w:r>
        <w:rPr>
          <w:rFonts w:hint="eastAsia" w:ascii="宋体" w:hAnsi="宋体"/>
          <w:color w:val="auto"/>
          <w:sz w:val="28"/>
          <w:szCs w:val="28"/>
        </w:rPr>
        <w:t>小时</w:t>
      </w:r>
      <w:r>
        <w:rPr>
          <w:rFonts w:hint="eastAsia" w:ascii="宋体" w:hAnsi="宋体"/>
          <w:color w:val="auto"/>
          <w:sz w:val="28"/>
          <w:szCs w:val="28"/>
          <w:lang w:val="zh-CN"/>
        </w:rPr>
        <w:t>响应，</w:t>
      </w:r>
      <w:r>
        <w:rPr>
          <w:rFonts w:hint="eastAsia" w:ascii="宋体" w:hAnsi="宋体"/>
          <w:color w:val="auto"/>
          <w:sz w:val="28"/>
          <w:szCs w:val="28"/>
          <w:u w:val="single"/>
          <w:lang w:val="zh-CN"/>
        </w:rPr>
        <w:t xml:space="preserve"> </w:t>
      </w:r>
      <w:r>
        <w:rPr>
          <w:rFonts w:hint="eastAsia" w:ascii="宋体" w:hAnsi="宋体"/>
          <w:color w:val="auto"/>
          <w:sz w:val="28"/>
          <w:szCs w:val="28"/>
          <w:u w:val="single"/>
        </w:rPr>
        <w:t>24</w:t>
      </w:r>
      <w:r>
        <w:rPr>
          <w:rFonts w:hint="eastAsia" w:ascii="宋体" w:hAnsi="宋体"/>
          <w:color w:val="auto"/>
          <w:sz w:val="28"/>
          <w:szCs w:val="28"/>
          <w:u w:val="single"/>
          <w:lang w:val="zh-CN"/>
        </w:rPr>
        <w:t xml:space="preserve"> </w:t>
      </w:r>
      <w:r>
        <w:rPr>
          <w:rFonts w:hint="eastAsia" w:ascii="宋体" w:hAnsi="宋体"/>
          <w:color w:val="auto"/>
          <w:sz w:val="28"/>
          <w:szCs w:val="28"/>
          <w:lang w:val="zh-CN"/>
        </w:rPr>
        <w:t>小时内到达现场实施维修。</w:t>
      </w:r>
      <w:r>
        <w:rPr>
          <w:rFonts w:hint="eastAsia" w:ascii="宋体" w:hAnsi="宋体"/>
          <w:color w:val="auto"/>
          <w:sz w:val="28"/>
          <w:szCs w:val="28"/>
          <w:u w:val="single"/>
          <w:lang w:val="zh-CN"/>
        </w:rPr>
        <w:t xml:space="preserve"> </w:t>
      </w:r>
      <w:r>
        <w:rPr>
          <w:rFonts w:hint="eastAsia" w:ascii="宋体" w:hAnsi="宋体"/>
          <w:color w:val="auto"/>
          <w:sz w:val="28"/>
          <w:szCs w:val="28"/>
          <w:u w:val="single"/>
        </w:rPr>
        <w:t>48</w:t>
      </w:r>
      <w:r>
        <w:rPr>
          <w:rFonts w:hint="eastAsia" w:ascii="宋体" w:hAnsi="宋体"/>
          <w:color w:val="auto"/>
          <w:sz w:val="28"/>
          <w:szCs w:val="28"/>
          <w:u w:val="single"/>
          <w:lang w:val="zh-CN"/>
        </w:rPr>
        <w:t xml:space="preserve"> </w:t>
      </w:r>
      <w:r>
        <w:rPr>
          <w:rFonts w:hint="eastAsia" w:ascii="宋体" w:hAnsi="宋体"/>
          <w:color w:val="auto"/>
          <w:sz w:val="28"/>
          <w:szCs w:val="28"/>
          <w:lang w:val="zh-CN"/>
        </w:rPr>
        <w:t>小时仍未排除故障、恢复正常运转的，由投标供应商提供同类型备品、备件等。</w:t>
      </w:r>
    </w:p>
    <w:p>
      <w:pPr>
        <w:tabs>
          <w:tab w:val="left" w:pos="0"/>
        </w:tabs>
        <w:autoSpaceDE w:val="0"/>
        <w:autoSpaceDN w:val="0"/>
        <w:adjustRightInd w:val="0"/>
        <w:spacing w:line="560" w:lineRule="exact"/>
        <w:ind w:firstLine="560"/>
        <w:rPr>
          <w:rFonts w:ascii="宋体" w:hAnsi="宋体"/>
          <w:color w:val="auto"/>
          <w:sz w:val="28"/>
          <w:szCs w:val="28"/>
          <w:lang w:val="zh-CN"/>
        </w:rPr>
      </w:pPr>
      <w:r>
        <w:rPr>
          <w:rFonts w:hint="eastAsia" w:ascii="宋体" w:hAnsi="宋体"/>
          <w:color w:val="auto"/>
          <w:sz w:val="28"/>
          <w:szCs w:val="28"/>
          <w:lang w:val="en-US" w:eastAsia="zh-CN"/>
        </w:rPr>
        <w:t>5</w:t>
      </w:r>
      <w:r>
        <w:rPr>
          <w:rFonts w:ascii="宋体" w:hAnsi="宋体"/>
          <w:color w:val="auto"/>
          <w:sz w:val="28"/>
          <w:szCs w:val="28"/>
          <w:lang w:val="zh-CN"/>
        </w:rPr>
        <w:t>.</w:t>
      </w:r>
      <w:r>
        <w:rPr>
          <w:rFonts w:hint="eastAsia" w:ascii="宋体" w:hAnsi="宋体"/>
          <w:color w:val="auto"/>
          <w:sz w:val="28"/>
          <w:szCs w:val="28"/>
          <w:lang w:val="zh-CN"/>
        </w:rPr>
        <w:t>硬件是否回收：</w:t>
      </w:r>
      <w:r>
        <w:rPr>
          <w:rFonts w:hint="eastAsia"/>
          <w:color w:val="auto"/>
          <w:sz w:val="28"/>
          <w:szCs w:val="28"/>
          <w:u w:val="none"/>
          <w:lang w:val="zh-CN"/>
        </w:rPr>
        <w:t xml:space="preserve"> 乙方负责设备的终身维修，需提供</w:t>
      </w:r>
      <w:r>
        <w:rPr>
          <w:rFonts w:hint="eastAsia"/>
          <w:color w:val="auto"/>
          <w:sz w:val="28"/>
          <w:szCs w:val="28"/>
          <w:u w:val="none"/>
        </w:rPr>
        <w:t>10年以上备件供应期，</w:t>
      </w:r>
      <w:r>
        <w:rPr>
          <w:rFonts w:hint="eastAsia"/>
          <w:color w:val="auto"/>
          <w:sz w:val="28"/>
          <w:szCs w:val="28"/>
          <w:u w:val="none"/>
          <w:lang w:val="zh-CN"/>
        </w:rPr>
        <w:t>更换备件后，在</w:t>
      </w:r>
      <w:r>
        <w:rPr>
          <w:rFonts w:hint="eastAsia"/>
          <w:color w:val="auto"/>
          <w:sz w:val="28"/>
          <w:szCs w:val="28"/>
          <w:u w:val="none"/>
          <w:lang w:val="en-US" w:eastAsia="zh-CN"/>
        </w:rPr>
        <w:t>信息科</w:t>
      </w:r>
      <w:r>
        <w:rPr>
          <w:rFonts w:hint="eastAsia"/>
          <w:color w:val="auto"/>
          <w:sz w:val="28"/>
          <w:szCs w:val="28"/>
          <w:u w:val="none"/>
          <w:lang w:val="zh-CN"/>
        </w:rPr>
        <w:t>同意后乙方可将旧件收回</w:t>
      </w:r>
      <w:r>
        <w:rPr>
          <w:rFonts w:hint="eastAsia"/>
          <w:color w:val="auto"/>
          <w:sz w:val="28"/>
          <w:szCs w:val="28"/>
          <w:lang w:val="zh-CN"/>
        </w:rPr>
        <w:t>。</w:t>
      </w:r>
    </w:p>
    <w:p>
      <w:pPr>
        <w:tabs>
          <w:tab w:val="left" w:pos="0"/>
        </w:tabs>
        <w:autoSpaceDE w:val="0"/>
        <w:autoSpaceDN w:val="0"/>
        <w:adjustRightInd w:val="0"/>
        <w:spacing w:line="560" w:lineRule="exact"/>
        <w:ind w:firstLine="560" w:firstLineChars="200"/>
        <w:rPr>
          <w:rFonts w:ascii="宋体" w:hAnsi="宋体"/>
          <w:color w:val="auto"/>
          <w:sz w:val="28"/>
          <w:szCs w:val="28"/>
          <w:lang w:val="zh-CN"/>
        </w:rPr>
      </w:pPr>
      <w:r>
        <w:rPr>
          <w:rFonts w:hint="eastAsia" w:ascii="宋体" w:hAnsi="宋体"/>
          <w:color w:val="auto"/>
          <w:sz w:val="28"/>
          <w:szCs w:val="28"/>
          <w:lang w:val="en-US" w:eastAsia="zh-CN"/>
        </w:rPr>
        <w:t>6</w:t>
      </w:r>
      <w:r>
        <w:rPr>
          <w:rFonts w:ascii="宋体" w:hAnsi="宋体"/>
          <w:color w:val="auto"/>
          <w:sz w:val="28"/>
          <w:szCs w:val="28"/>
          <w:lang w:val="zh-CN"/>
        </w:rPr>
        <w:t>.</w:t>
      </w:r>
      <w:r>
        <w:rPr>
          <w:rFonts w:hint="eastAsia" w:ascii="宋体" w:hAnsi="宋体"/>
          <w:color w:val="auto"/>
          <w:sz w:val="28"/>
          <w:szCs w:val="28"/>
          <w:lang w:val="zh-CN"/>
        </w:rPr>
        <w:t>日常维护及服务标准：</w:t>
      </w:r>
      <w:r>
        <w:rPr>
          <w:rFonts w:hint="eastAsia"/>
          <w:color w:val="auto"/>
          <w:sz w:val="28"/>
          <w:szCs w:val="28"/>
          <w:u w:val="none"/>
          <w:lang w:val="zh-CN"/>
        </w:rPr>
        <w:t xml:space="preserve"> 保修期内提供</w:t>
      </w:r>
      <w:r>
        <w:rPr>
          <w:rFonts w:hint="eastAsia"/>
          <w:color w:val="auto"/>
          <w:sz w:val="28"/>
          <w:szCs w:val="28"/>
          <w:u w:val="none"/>
        </w:rPr>
        <w:t>4次预防性维护，预防性维护资料完整并上交一份至</w:t>
      </w:r>
      <w:r>
        <w:rPr>
          <w:rFonts w:hint="eastAsia"/>
          <w:color w:val="auto"/>
          <w:sz w:val="28"/>
          <w:szCs w:val="28"/>
          <w:u w:val="none"/>
          <w:lang w:val="en-US" w:eastAsia="zh-CN"/>
        </w:rPr>
        <w:t>信息</w:t>
      </w:r>
      <w:r>
        <w:rPr>
          <w:rFonts w:hint="eastAsia"/>
          <w:color w:val="auto"/>
          <w:sz w:val="28"/>
          <w:szCs w:val="28"/>
          <w:u w:val="none"/>
        </w:rPr>
        <w:t>科备份</w:t>
      </w:r>
      <w:r>
        <w:rPr>
          <w:rFonts w:hint="eastAsia"/>
          <w:color w:val="auto"/>
          <w:sz w:val="28"/>
          <w:szCs w:val="28"/>
          <w:lang w:val="zh-CN"/>
        </w:rPr>
        <w:t>。</w:t>
      </w:r>
    </w:p>
    <w:p>
      <w:pPr>
        <w:tabs>
          <w:tab w:val="left" w:pos="0"/>
        </w:tabs>
        <w:autoSpaceDE w:val="0"/>
        <w:autoSpaceDN w:val="0"/>
        <w:adjustRightInd w:val="0"/>
        <w:spacing w:line="560" w:lineRule="exact"/>
        <w:ind w:firstLine="560"/>
        <w:rPr>
          <w:rFonts w:hint="eastAsia" w:ascii="宋体" w:hAnsi="宋体"/>
          <w:color w:val="auto"/>
          <w:sz w:val="28"/>
          <w:szCs w:val="28"/>
          <w:lang w:val="zh-CN"/>
        </w:rPr>
      </w:pPr>
      <w:r>
        <w:rPr>
          <w:rFonts w:hint="eastAsia" w:ascii="宋体" w:hAnsi="宋体"/>
          <w:color w:val="auto"/>
          <w:sz w:val="28"/>
          <w:szCs w:val="28"/>
          <w:lang w:val="en-US" w:eastAsia="zh-CN"/>
        </w:rPr>
        <w:t>7</w:t>
      </w:r>
      <w:r>
        <w:rPr>
          <w:rFonts w:hint="eastAsia" w:ascii="宋体" w:hAnsi="宋体"/>
          <w:color w:val="auto"/>
          <w:sz w:val="28"/>
          <w:szCs w:val="28"/>
          <w:lang w:val="zh-CN"/>
        </w:rPr>
        <w:t>.其他服务要求：</w:t>
      </w:r>
    </w:p>
    <w:p>
      <w:pPr>
        <w:pStyle w:val="17"/>
        <w:widowControl w:val="0"/>
        <w:spacing w:line="560" w:lineRule="exact"/>
        <w:ind w:left="0" w:firstLine="560" w:firstLineChars="200"/>
        <w:jc w:val="both"/>
        <w:rPr>
          <w:rFonts w:hint="eastAsia" w:ascii="Times New Roman" w:hAnsi="Times New Roman" w:eastAsia="宋体" w:cs="Times New Roman"/>
          <w:color w:val="auto"/>
          <w:sz w:val="28"/>
          <w:szCs w:val="28"/>
          <w:lang w:val="zh-CN" w:eastAsia="zh-CN"/>
        </w:rPr>
      </w:pPr>
      <w:r>
        <w:rPr>
          <w:rFonts w:hint="eastAsia" w:ascii="Times New Roman" w:hAnsi="Times New Roman" w:cs="Times New Roman"/>
          <w:color w:val="auto"/>
          <w:sz w:val="28"/>
          <w:szCs w:val="28"/>
          <w:lang w:val="en-US" w:eastAsia="zh-CN"/>
        </w:rPr>
        <w:t>7</w:t>
      </w:r>
      <w:r>
        <w:rPr>
          <w:rFonts w:hint="eastAsia" w:ascii="Times New Roman" w:hAnsi="Times New Roman" w:eastAsia="宋体" w:cs="Times New Roman"/>
          <w:color w:val="auto"/>
          <w:sz w:val="28"/>
          <w:szCs w:val="28"/>
          <w:lang w:val="en-US" w:eastAsia="zh-CN"/>
        </w:rPr>
        <w:t>.</w:t>
      </w:r>
      <w:r>
        <w:rPr>
          <w:rFonts w:hint="eastAsia" w:ascii="Times New Roman" w:hAnsi="Times New Roman" w:eastAsia="宋体" w:cs="Times New Roman"/>
          <w:color w:val="auto"/>
          <w:sz w:val="28"/>
          <w:szCs w:val="28"/>
          <w:lang w:val="zh-CN" w:eastAsia="zh-CN"/>
        </w:rPr>
        <w:t>1</w:t>
      </w:r>
      <w:r>
        <w:rPr>
          <w:rFonts w:hint="eastAsia" w:ascii="Times New Roman" w:hAnsi="Times New Roman" w:eastAsia="宋体" w:cs="Times New Roman"/>
          <w:color w:val="auto"/>
          <w:sz w:val="28"/>
          <w:szCs w:val="28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color w:val="auto"/>
          <w:sz w:val="28"/>
          <w:szCs w:val="28"/>
          <w:lang w:val="zh-CN" w:eastAsia="zh-CN"/>
        </w:rPr>
        <w:t>安装和实施之后，提供对应用人员和医院维护、管理人员进行培训。</w:t>
      </w:r>
    </w:p>
    <w:p>
      <w:pPr>
        <w:pStyle w:val="17"/>
        <w:widowControl w:val="0"/>
        <w:spacing w:line="560" w:lineRule="exact"/>
        <w:ind w:left="0" w:firstLine="560" w:firstLineChars="200"/>
        <w:jc w:val="both"/>
        <w:rPr>
          <w:rFonts w:hint="eastAsia" w:ascii="Times New Roman" w:hAnsi="Times New Roman" w:eastAsia="宋体" w:cs="Times New Roman"/>
          <w:color w:val="auto"/>
          <w:sz w:val="28"/>
          <w:szCs w:val="28"/>
          <w:lang w:val="zh-CN" w:eastAsia="zh-CN"/>
        </w:rPr>
      </w:pPr>
      <w:r>
        <w:rPr>
          <w:rFonts w:hint="eastAsia" w:ascii="Times New Roman" w:hAnsi="Times New Roman" w:cs="Times New Roman"/>
          <w:color w:val="auto"/>
          <w:sz w:val="28"/>
          <w:szCs w:val="28"/>
          <w:lang w:val="en-US" w:eastAsia="zh-CN"/>
        </w:rPr>
        <w:t>7</w:t>
      </w:r>
      <w:r>
        <w:rPr>
          <w:rFonts w:hint="eastAsia" w:ascii="Times New Roman" w:hAnsi="Times New Roman" w:eastAsia="宋体" w:cs="Times New Roman"/>
          <w:color w:val="auto"/>
          <w:sz w:val="28"/>
          <w:szCs w:val="28"/>
          <w:lang w:val="en-US" w:eastAsia="zh-CN"/>
        </w:rPr>
        <w:t>.</w:t>
      </w:r>
      <w:r>
        <w:rPr>
          <w:rFonts w:hint="eastAsia" w:ascii="Times New Roman" w:hAnsi="Times New Roman" w:eastAsia="宋体" w:cs="Times New Roman"/>
          <w:color w:val="auto"/>
          <w:sz w:val="28"/>
          <w:szCs w:val="28"/>
          <w:lang w:val="zh-CN" w:eastAsia="zh-CN"/>
        </w:rPr>
        <w:t>2</w:t>
      </w:r>
      <w:r>
        <w:rPr>
          <w:rFonts w:hint="eastAsia" w:ascii="Times New Roman" w:hAnsi="Times New Roman" w:eastAsia="宋体" w:cs="Times New Roman"/>
          <w:color w:val="auto"/>
          <w:sz w:val="28"/>
          <w:szCs w:val="28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color w:val="auto"/>
          <w:sz w:val="28"/>
          <w:szCs w:val="28"/>
          <w:lang w:val="zh-CN" w:eastAsia="zh-CN"/>
        </w:rPr>
        <w:t>本项目至少提供</w:t>
      </w:r>
      <w:r>
        <w:rPr>
          <w:rFonts w:hint="eastAsia" w:ascii="Times New Roman" w:hAnsi="Times New Roman" w:cs="Times New Roman"/>
          <w:color w:val="auto"/>
          <w:sz w:val="28"/>
          <w:szCs w:val="28"/>
          <w:lang w:val="en-US" w:eastAsia="zh-CN"/>
        </w:rPr>
        <w:t>三年原厂质保、五</w:t>
      </w:r>
      <w:r>
        <w:rPr>
          <w:rFonts w:hint="eastAsia" w:ascii="Times New Roman" w:hAnsi="Times New Roman" w:eastAsia="宋体" w:cs="Times New Roman"/>
          <w:color w:val="auto"/>
          <w:sz w:val="28"/>
          <w:szCs w:val="28"/>
          <w:lang w:val="zh-CN" w:eastAsia="zh-CN"/>
        </w:rPr>
        <w:t>年免费维保服务 。</w:t>
      </w:r>
    </w:p>
    <w:p>
      <w:pPr>
        <w:tabs>
          <w:tab w:val="left" w:pos="0"/>
        </w:tabs>
        <w:autoSpaceDE w:val="0"/>
        <w:autoSpaceDN w:val="0"/>
        <w:adjustRightInd w:val="0"/>
        <w:spacing w:line="560" w:lineRule="exact"/>
        <w:ind w:firstLine="562" w:firstLineChars="200"/>
        <w:rPr>
          <w:rFonts w:hint="eastAsia" w:ascii="宋体" w:hAnsi="宋体" w:eastAsia="宋体" w:cs="Times New Roman"/>
          <w:b/>
          <w:bCs/>
          <w:color w:val="auto"/>
          <w:sz w:val="28"/>
          <w:szCs w:val="28"/>
          <w:lang w:val="zh-CN"/>
        </w:rPr>
      </w:pPr>
      <w:r>
        <w:rPr>
          <w:rFonts w:hint="eastAsia" w:ascii="宋体" w:hAnsi="宋体" w:cs="Times New Roman"/>
          <w:b/>
          <w:bCs/>
          <w:color w:val="auto"/>
          <w:sz w:val="28"/>
          <w:szCs w:val="28"/>
          <w:lang w:val="en-US" w:eastAsia="zh-CN"/>
        </w:rPr>
        <w:t>8</w:t>
      </w:r>
      <w:r>
        <w:rPr>
          <w:rFonts w:hint="eastAsia" w:ascii="宋体" w:hAnsi="宋体" w:eastAsia="宋体" w:cs="Times New Roman"/>
          <w:b/>
          <w:bCs/>
          <w:color w:val="auto"/>
          <w:sz w:val="28"/>
          <w:szCs w:val="28"/>
          <w:lang w:val="en-US" w:eastAsia="zh-CN"/>
        </w:rPr>
        <w:t>.</w:t>
      </w:r>
      <w:r>
        <w:rPr>
          <w:rFonts w:hint="eastAsia" w:ascii="宋体" w:hAnsi="宋体" w:eastAsia="宋体" w:cs="Times New Roman"/>
          <w:b/>
          <w:bCs/>
          <w:color w:val="auto"/>
          <w:sz w:val="28"/>
          <w:szCs w:val="28"/>
          <w:lang w:val="zh-CN"/>
        </w:rPr>
        <w:t>售后服务承诺书应由原厂和代理商共同出具并加盖原厂公章。</w:t>
      </w:r>
    </w:p>
    <w:p>
      <w:pPr>
        <w:pStyle w:val="17"/>
        <w:widowControl w:val="0"/>
        <w:spacing w:line="560" w:lineRule="exact"/>
        <w:ind w:left="11" w:firstLine="560" w:firstLineChars="200"/>
        <w:jc w:val="both"/>
        <w:rPr>
          <w:rFonts w:ascii="Times New Roman" w:hAnsi="Times New Roman"/>
          <w:b/>
          <w:color w:val="auto"/>
          <w:sz w:val="28"/>
          <w:szCs w:val="28"/>
          <w:lang w:eastAsia="zh-CN"/>
        </w:rPr>
      </w:pPr>
      <w:r>
        <w:rPr>
          <w:rFonts w:ascii="Times New Roman" w:hAnsi="宋体"/>
          <w:color w:val="auto"/>
          <w:sz w:val="28"/>
          <w:szCs w:val="28"/>
          <w:lang w:val="zh-CN" w:eastAsia="zh-CN"/>
        </w:rPr>
        <w:t>（三）</w:t>
      </w:r>
      <w:r>
        <w:rPr>
          <w:rFonts w:ascii="Times New Roman" w:hAnsi="宋体"/>
          <w:color w:val="auto"/>
          <w:sz w:val="28"/>
          <w:szCs w:val="28"/>
          <w:lang w:eastAsia="zh-CN"/>
        </w:rPr>
        <w:t>专利权和保密要求</w:t>
      </w:r>
    </w:p>
    <w:p>
      <w:pPr>
        <w:pStyle w:val="17"/>
        <w:widowControl w:val="0"/>
        <w:spacing w:line="560" w:lineRule="exact"/>
        <w:ind w:left="0" w:firstLine="560" w:firstLineChars="200"/>
        <w:jc w:val="both"/>
        <w:rPr>
          <w:rFonts w:hint="eastAsia"/>
          <w:color w:val="auto"/>
          <w:lang w:val="zh-CN"/>
        </w:rPr>
      </w:pPr>
      <w:r>
        <w:rPr>
          <w:rFonts w:ascii="Times New Roman" w:hAnsi="Times New Roman"/>
          <w:color w:val="auto"/>
          <w:sz w:val="28"/>
          <w:szCs w:val="28"/>
          <w:lang w:val="zh-CN" w:eastAsia="zh-CN"/>
        </w:rPr>
        <w:t>投标供应商应保证使用方在使用该货物或其任何一部分时，不受第三方侵权指控。同时，投标供应商不得向第三方泄露采购机构提供的技术文件等资料。</w:t>
      </w:r>
    </w:p>
    <w:p>
      <w:pPr>
        <w:pStyle w:val="17"/>
        <w:spacing w:line="560" w:lineRule="atLeast"/>
        <w:ind w:left="0" w:firstLine="560" w:firstLineChars="200"/>
        <w:rPr>
          <w:rFonts w:ascii="宋体" w:hAnsi="宋体"/>
          <w:color w:val="auto"/>
          <w:sz w:val="28"/>
          <w:szCs w:val="28"/>
          <w:lang w:val="zh-CN" w:eastAsia="zh-CN"/>
        </w:rPr>
      </w:pPr>
      <w:r>
        <w:rPr>
          <w:rFonts w:hint="eastAsia" w:ascii="宋体" w:hAnsi="宋体"/>
          <w:color w:val="auto"/>
          <w:sz w:val="28"/>
          <w:szCs w:val="28"/>
          <w:lang w:val="zh-CN" w:eastAsia="zh-CN"/>
        </w:rPr>
        <w:t>（四）付款及结算方式</w:t>
      </w:r>
    </w:p>
    <w:p>
      <w:pPr>
        <w:tabs>
          <w:tab w:val="left" w:pos="0"/>
        </w:tabs>
        <w:autoSpaceDE w:val="0"/>
        <w:autoSpaceDN w:val="0"/>
        <w:adjustRightInd w:val="0"/>
        <w:spacing w:line="560" w:lineRule="exact"/>
        <w:ind w:firstLine="560"/>
        <w:rPr>
          <w:rFonts w:hint="eastAsia" w:ascii="宋体" w:hAnsi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color w:val="auto"/>
          <w:sz w:val="28"/>
          <w:szCs w:val="28"/>
          <w:lang w:val="zh-CN"/>
        </w:rPr>
        <w:t>合同签订生效后，中标人与需求方（长征医院）签署设备签收单后，</w:t>
      </w:r>
      <w:r>
        <w:rPr>
          <w:rFonts w:hint="eastAsia" w:ascii="宋体" w:hAnsi="宋体"/>
          <w:color w:val="auto"/>
          <w:sz w:val="28"/>
          <w:szCs w:val="28"/>
          <w:lang w:val="en-US" w:eastAsia="zh-CN"/>
        </w:rPr>
        <w:t>配合甲方完成资产打码贴签后，</w:t>
      </w:r>
      <w:r>
        <w:rPr>
          <w:rFonts w:hint="eastAsia" w:ascii="宋体" w:hAnsi="宋体"/>
          <w:color w:val="auto"/>
          <w:sz w:val="28"/>
          <w:szCs w:val="28"/>
          <w:lang w:val="zh-CN"/>
        </w:rPr>
        <w:t>中标人提交发票（金额为合同价款的</w:t>
      </w:r>
      <w:r>
        <w:rPr>
          <w:rFonts w:hint="eastAsia" w:ascii="宋体" w:hAnsi="宋体"/>
          <w:color w:val="auto"/>
          <w:sz w:val="28"/>
          <w:szCs w:val="28"/>
          <w:lang w:val="en-US" w:eastAsia="zh-CN"/>
        </w:rPr>
        <w:t>100</w:t>
      </w:r>
      <w:r>
        <w:rPr>
          <w:rFonts w:hint="eastAsia" w:ascii="宋体" w:hAnsi="宋体"/>
          <w:color w:val="auto"/>
          <w:sz w:val="28"/>
          <w:szCs w:val="28"/>
          <w:lang w:val="zh-CN"/>
        </w:rPr>
        <w:t>%），需求方收到相应金额发票并审核无误后于</w:t>
      </w:r>
      <w:r>
        <w:rPr>
          <w:rFonts w:hint="eastAsia" w:ascii="宋体" w:hAnsi="宋体"/>
          <w:color w:val="auto"/>
          <w:sz w:val="28"/>
          <w:szCs w:val="28"/>
          <w:lang w:val="en-US" w:eastAsia="zh-CN"/>
        </w:rPr>
        <w:t>6</w:t>
      </w:r>
      <w:r>
        <w:rPr>
          <w:rFonts w:hint="eastAsia" w:ascii="宋体" w:hAnsi="宋体"/>
          <w:color w:val="auto"/>
          <w:sz w:val="28"/>
          <w:szCs w:val="28"/>
          <w:lang w:val="zh-CN"/>
        </w:rPr>
        <w:t>0个工作日内，向中标人支付合同价款的</w:t>
      </w:r>
      <w:r>
        <w:rPr>
          <w:rFonts w:hint="eastAsia" w:ascii="宋体" w:hAnsi="宋体"/>
          <w:color w:val="auto"/>
          <w:sz w:val="28"/>
          <w:szCs w:val="28"/>
          <w:lang w:val="en-US" w:eastAsia="zh-CN"/>
        </w:rPr>
        <w:t>10</w:t>
      </w:r>
      <w:r>
        <w:rPr>
          <w:rFonts w:hint="eastAsia" w:ascii="宋体" w:hAnsi="宋体"/>
          <w:color w:val="auto"/>
          <w:sz w:val="28"/>
          <w:szCs w:val="28"/>
          <w:lang w:val="zh-CN"/>
        </w:rPr>
        <w:t>0%。</w:t>
      </w:r>
    </w:p>
    <w:sectPr>
      <w:headerReference r:id="rId3" w:type="default"/>
      <w:footerReference r:id="rId4" w:type="default"/>
      <w:pgSz w:w="11906" w:h="16838"/>
      <w:pgMar w:top="1247" w:right="1871" w:bottom="1247" w:left="1871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693B2308-7DC1-4DE2-834A-715A31B5B3F6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2CEABB4F-CE98-4711-91B9-B609CBBDE420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07EC6F10-9B3F-4F98-ADD7-79B5ACED826C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6855829E-4BDA-49EF-A827-CE7CBEACD88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EA2BB3E7-6ED1-4A88-8A71-6C4E856574D9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6" w:fontKey="{35E1E465-8DF1-4E4B-BBBE-4BC8B6741DE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0D2BA4F0-9F7D-463D-A154-1FAE441B8D46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8" w:fontKey="{8C273A30-BBC3-4E6E-84AA-09E38A234938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  <w:embedRegular r:id="rId9" w:fontKey="{F53FD6D6-C086-4364-AABC-53C8D29C660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sz w:val="24"/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sz w:val="24"/>
      </w:rPr>
    </w:pPr>
  </w:p>
  <w:p>
    <w:pPr>
      <w:jc w:val="center"/>
      <w:rPr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embedSystemFonts/>
  <w:bordersDoNotSurroundHeader w:val="1"/>
  <w:bordersDoNotSurroundFooter w:val="1"/>
  <w:attachedTemplate r:id="rId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noLineBreaksAfter w:lang="zh-CN" w:val="([{·‘“〈《「『【〔〖（．［｛￡￥"/>
  <w:noLineBreaksBefore w:lang="zh-CN" w:val="!),.:;?]}¨·ˇˉ―‖’”…∶、。〃々〉》」』】〕〗！＂＇），．：；？］｀｜｝～￠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iwiaGRpZCI6ImYzZDMxZDI1N2Y3ZWJlNzhjYWFhNThmYzA5YjczOTJmIiwidXNlckNvdW50IjoyfQ=="/>
  </w:docVars>
  <w:rsids>
    <w:rsidRoot w:val="38987090"/>
    <w:rsid w:val="15D10DE9"/>
    <w:rsid w:val="1BB32E0D"/>
    <w:rsid w:val="20610EB9"/>
    <w:rsid w:val="35B112B3"/>
    <w:rsid w:val="38987090"/>
    <w:rsid w:val="42E37CA5"/>
    <w:rsid w:val="544263DC"/>
    <w:rsid w:val="65C36CC6"/>
    <w:rsid w:val="6E822AC1"/>
    <w:rsid w:val="72B1435E"/>
    <w:rsid w:val="79B5381B"/>
    <w:rsid w:val="7CEE062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nhideWhenUsed="0" w:uiPriority="0" w:semiHidden="0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qFormat="1" w:unhideWhenUsed="0" w:uiPriority="0" w:semiHidden="0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12">
    <w:name w:val="Default Paragraph Font"/>
    <w:qFormat/>
    <w:uiPriority w:val="0"/>
  </w:style>
  <w:style w:type="table" w:default="1" w:styleId="10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rPr>
      <w:sz w:val="21"/>
    </w:rPr>
  </w:style>
  <w:style w:type="paragraph" w:styleId="4">
    <w:name w:val="Date"/>
    <w:basedOn w:val="1"/>
    <w:next w:val="1"/>
    <w:link w:val="14"/>
    <w:unhideWhenUsed/>
    <w:qFormat/>
    <w:uiPriority w:val="99"/>
    <w:pPr>
      <w:ind w:left="100" w:leftChars="2500"/>
    </w:pPr>
  </w:style>
  <w:style w:type="paragraph" w:styleId="5">
    <w:name w:val="Balloon Text"/>
    <w:basedOn w:val="1"/>
    <w:link w:val="15"/>
    <w:unhideWhenUsed/>
    <w:qFormat/>
    <w:uiPriority w:val="99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0"/>
    <w:rPr>
      <w:sz w:val="24"/>
    </w:rPr>
  </w:style>
  <w:style w:type="paragraph" w:styleId="9">
    <w:name w:val="Body Text First Indent"/>
    <w:basedOn w:val="3"/>
    <w:qFormat/>
    <w:uiPriority w:val="0"/>
    <w:pPr>
      <w:adjustRightInd/>
      <w:spacing w:after="120" w:line="240" w:lineRule="auto"/>
      <w:ind w:firstLine="420" w:firstLineChars="100"/>
      <w:jc w:val="both"/>
      <w:textAlignment w:val="auto"/>
    </w:pPr>
    <w:rPr>
      <w:rFonts w:ascii="Times New Roman" w:eastAsia="宋体"/>
      <w:kern w:val="2"/>
      <w:sz w:val="21"/>
    </w:rPr>
  </w:style>
  <w:style w:type="table" w:styleId="11">
    <w:name w:val="Table Grid"/>
    <w:basedOn w:val="10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page number"/>
    <w:qFormat/>
    <w:uiPriority w:val="0"/>
    <w:rPr>
      <w:rFonts w:cs="Times New Roman"/>
    </w:rPr>
  </w:style>
  <w:style w:type="character" w:customStyle="1" w:styleId="14">
    <w:name w:val="日期 Char"/>
    <w:basedOn w:val="12"/>
    <w:link w:val="4"/>
    <w:semiHidden/>
    <w:qFormat/>
    <w:uiPriority w:val="99"/>
  </w:style>
  <w:style w:type="character" w:customStyle="1" w:styleId="15">
    <w:name w:val="批注框文本 Char"/>
    <w:basedOn w:val="12"/>
    <w:link w:val="5"/>
    <w:semiHidden/>
    <w:qFormat/>
    <w:uiPriority w:val="99"/>
    <w:rPr>
      <w:sz w:val="18"/>
      <w:szCs w:val="18"/>
    </w:rPr>
  </w:style>
  <w:style w:type="paragraph" w:customStyle="1" w:styleId="16">
    <w:name w:val="Normal_0"/>
    <w:qFormat/>
    <w:uiPriority w:val="0"/>
    <w:pPr>
      <w:widowControl w:val="0"/>
      <w:jc w:val="both"/>
    </w:pPr>
    <w:rPr>
      <w:rFonts w:ascii="等线" w:hAnsi="等线" w:eastAsia="等线" w:cs="Times New Roman"/>
      <w:kern w:val="2"/>
    </w:rPr>
  </w:style>
  <w:style w:type="paragraph" w:customStyle="1" w:styleId="17">
    <w:name w:val="列出段落1"/>
    <w:basedOn w:val="1"/>
    <w:qFormat/>
    <w:uiPriority w:val="0"/>
    <w:pPr>
      <w:widowControl/>
      <w:ind w:left="720" w:firstLine="360"/>
      <w:jc w:val="left"/>
    </w:pPr>
    <w:rPr>
      <w:rFonts w:ascii="Calibri" w:hAnsi="Calibri"/>
      <w:sz w:val="22"/>
      <w:szCs w:val="20"/>
      <w:lang w:eastAsia="en-US"/>
    </w:rPr>
  </w:style>
  <w:style w:type="paragraph" w:customStyle="1" w:styleId="18">
    <w:name w:val="Table Text"/>
    <w:basedOn w:val="1"/>
    <w:semiHidden/>
    <w:qFormat/>
    <w:uiPriority w:val="0"/>
    <w:rPr>
      <w:rFonts w:ascii="微软雅黑" w:hAnsi="微软雅黑" w:eastAsia="微软雅黑" w:cs="微软雅黑"/>
      <w:sz w:val="15"/>
      <w:szCs w:val="15"/>
    </w:rPr>
  </w:style>
  <w:style w:type="table" w:customStyle="1" w:styleId="19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w\AppData\Roaming\kingsoft\office6\templates\download\1c89de32-2e3d-473f-9ea1-0d72e366c03c\&#37319;&#36141;&#35810;&#20215;&#20989;.doc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采购询价函.docx</Template>
  <Pages>2</Pages>
  <Words>201</Words>
  <Characters>201</Characters>
  <Lines>2</Lines>
  <Paragraphs>1</Paragraphs>
  <TotalTime>39</TotalTime>
  <ScaleCrop>false</ScaleCrop>
  <LinksUpToDate>false</LinksUpToDate>
  <CharactersWithSpaces>398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2023-11-14T08:19:00Z</dcterms:created>
  <dc:creator>Corollarym</dc:creator>
  <cp:lastModifiedBy>Administrator</cp:lastModifiedBy>
  <cp:lastPrinted>2023-11-14T09:08:00Z</cp:lastPrinted>
  <dcterms:modified xsi:type="dcterms:W3CDTF">2023-11-27T06:56:35Z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D34BF7B38F374E10A0ABB49981AD6266_11</vt:lpwstr>
  </property>
  <property fmtid="{D5CDD505-2E9C-101B-9397-08002B2CF9AE}" pid="4" name="KSOTemplateUUID">
    <vt:lpwstr>v1.0_mb_28zfaMQFIbXCblLCrVH0ow==</vt:lpwstr>
  </property>
</Properties>
</file>