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3F7D" w14:textId="1BB95109" w:rsidR="00561F84" w:rsidRDefault="00393156" w:rsidP="00393156">
      <w:pPr>
        <w:jc w:val="center"/>
        <w:rPr>
          <w:rFonts w:ascii="黑体" w:eastAsia="黑体" w:hAnsi="黑体"/>
        </w:rPr>
      </w:pPr>
      <w:r w:rsidRPr="00393156">
        <w:rPr>
          <w:rFonts w:ascii="黑体" w:eastAsia="黑体" w:hAnsi="黑体" w:hint="eastAsia"/>
        </w:rPr>
        <w:t>全自动间接免疫荧光分析仪</w:t>
      </w:r>
      <w:r w:rsidRPr="00393156">
        <w:rPr>
          <w:rFonts w:ascii="黑体" w:eastAsia="黑体" w:hAnsi="黑体"/>
        </w:rPr>
        <w:t>-采购需求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6644"/>
      </w:tblGrid>
      <w:tr w:rsidR="00393156" w:rsidRPr="00F34FC1" w14:paraId="6D2F85D4" w14:textId="77777777" w:rsidTr="00982AE9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06FA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5FA5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E09C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b/>
                <w:bCs/>
                <w:sz w:val="22"/>
                <w:szCs w:val="22"/>
              </w:rPr>
              <w:t>技术性能要求</w:t>
            </w:r>
          </w:p>
        </w:tc>
      </w:tr>
      <w:tr w:rsidR="00393156" w:rsidRPr="00F34FC1" w14:paraId="7C60CA95" w14:textId="77777777" w:rsidTr="00982AE9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08F4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一、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6B0F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技术需求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DFF0" w14:textId="77777777" w:rsidR="00393156" w:rsidRPr="00F34FC1" w:rsidRDefault="00393156" w:rsidP="00982AE9">
            <w:pPr>
              <w:widowControl/>
              <w:jc w:val="left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</w:tr>
      <w:tr w:rsidR="00393156" w:rsidRPr="00F34FC1" w14:paraId="09E638EC" w14:textId="77777777" w:rsidTr="00982AE9">
        <w:trPr>
          <w:trHeight w:val="10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B283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1、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1326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5E30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自动化程度高，实现自动可定义稀释，自动加样，自动洗涤、自动检测等过程。</w:t>
            </w:r>
          </w:p>
        </w:tc>
      </w:tr>
      <w:tr w:rsidR="00393156" w:rsidRPr="00F34FC1" w14:paraId="6B8BEA4C" w14:textId="77777777" w:rsidTr="00982AE9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7546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▲2、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D978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9EAC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样本检测通量高，要求≥160个样品位（支持不同规格血清管）。</w:t>
            </w:r>
          </w:p>
        </w:tc>
      </w:tr>
      <w:tr w:rsidR="00393156" w:rsidRPr="00F34FC1" w14:paraId="51191953" w14:textId="77777777" w:rsidTr="00982AE9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6030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3、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17EF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0777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自动化识别病人样本，能够</w:t>
            </w:r>
            <w:proofErr w:type="gramStart"/>
            <w:r w:rsidRPr="00F34FC1">
              <w:rPr>
                <w:rFonts w:ascii="宋体" w:eastAsia="宋体" w:hint="eastAsia"/>
                <w:sz w:val="22"/>
                <w:szCs w:val="22"/>
              </w:rPr>
              <w:t>自动扫码临床</w:t>
            </w:r>
            <w:proofErr w:type="gramEnd"/>
            <w:r w:rsidRPr="00F34FC1">
              <w:rPr>
                <w:rFonts w:ascii="宋体" w:eastAsia="宋体" w:hint="eastAsia"/>
                <w:sz w:val="22"/>
                <w:szCs w:val="22"/>
              </w:rPr>
              <w:t>样本。</w:t>
            </w:r>
          </w:p>
        </w:tc>
      </w:tr>
      <w:tr w:rsidR="00393156" w:rsidRPr="00F34FC1" w14:paraId="26FA5125" w14:textId="77777777" w:rsidTr="00982AE9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6EBA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★4、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ACCA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8558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设备满足荧光，要求单独荧光完成≥240测试。</w:t>
            </w:r>
          </w:p>
        </w:tc>
      </w:tr>
      <w:tr w:rsidR="00393156" w:rsidRPr="00F34FC1" w14:paraId="7F95342A" w14:textId="77777777" w:rsidTr="00982AE9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B98D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5、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5081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4F7D" w14:textId="77777777" w:rsidR="00393156" w:rsidRPr="00F34FC1" w:rsidRDefault="00393156" w:rsidP="00982AE9">
            <w:pPr>
              <w:widowControl/>
              <w:jc w:val="left"/>
              <w:rPr>
                <w:rFonts w:ascii="宋体" w:eastAsia="宋体"/>
                <w:sz w:val="20"/>
                <w:szCs w:val="20"/>
              </w:rPr>
            </w:pPr>
            <w:r w:rsidRPr="00F34FC1">
              <w:rPr>
                <w:rFonts w:ascii="宋体" w:eastAsia="宋体" w:hint="eastAsia"/>
                <w:sz w:val="20"/>
                <w:szCs w:val="20"/>
              </w:rPr>
              <w:t>设备具有凝块/液面探测功能，加样针精确度满足CV≤2%（&gt;20uL）；CV≤5%（10uL）。</w:t>
            </w:r>
          </w:p>
        </w:tc>
      </w:tr>
      <w:tr w:rsidR="00393156" w:rsidRPr="00F34FC1" w14:paraId="6D7167FC" w14:textId="77777777" w:rsidTr="00982AE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395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▲6、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AC93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6E41" w14:textId="77777777" w:rsidR="00393156" w:rsidRPr="00F34FC1" w:rsidRDefault="00393156" w:rsidP="00982AE9">
            <w:pPr>
              <w:widowControl/>
              <w:jc w:val="left"/>
              <w:rPr>
                <w:rFonts w:ascii="宋体" w:eastAsia="宋体"/>
                <w:sz w:val="20"/>
                <w:szCs w:val="20"/>
              </w:rPr>
            </w:pPr>
            <w:r w:rsidRPr="00F34FC1">
              <w:rPr>
                <w:rFonts w:ascii="宋体" w:eastAsia="宋体" w:hint="eastAsia"/>
                <w:sz w:val="20"/>
                <w:szCs w:val="20"/>
              </w:rPr>
              <w:t>支持两种以上不同流程的检测项目同时上机检测。</w:t>
            </w:r>
          </w:p>
        </w:tc>
      </w:tr>
      <w:tr w:rsidR="00393156" w:rsidRPr="00F34FC1" w14:paraId="5CDAA5AF" w14:textId="77777777" w:rsidTr="00982AE9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2D7A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8、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6FC6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B939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仪器整合能力较好，一个载片托盘可承载≥3种规格的荧光载片、可同时检测＞4个检测项目。</w:t>
            </w:r>
          </w:p>
        </w:tc>
      </w:tr>
      <w:tr w:rsidR="00393156" w:rsidRPr="00F34FC1" w14:paraId="2BDB47C6" w14:textId="77777777" w:rsidTr="00982AE9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0C94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二、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7A16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配套使用试剂参数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5C2F" w14:textId="77777777" w:rsidR="00393156" w:rsidRPr="00F34FC1" w:rsidRDefault="00393156" w:rsidP="00982AE9">
            <w:pPr>
              <w:widowControl/>
              <w:jc w:val="left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</w:tr>
      <w:tr w:rsidR="00393156" w:rsidRPr="00F34FC1" w14:paraId="0588E0B9" w14:textId="77777777" w:rsidTr="00982AE9">
        <w:trPr>
          <w:trHeight w:val="10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4276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1、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5FF1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676F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试剂具有医疗器械注册证、营业执照、经营许可证，能够用于临床检验诊断。</w:t>
            </w:r>
          </w:p>
        </w:tc>
      </w:tr>
      <w:tr w:rsidR="00393156" w:rsidRPr="00F34FC1" w14:paraId="6A557432" w14:textId="77777777" w:rsidTr="00982AE9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D30D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2、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7C40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9E0F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试剂有效期不得少于6个月，试剂储存温度一般为2-8℃。</w:t>
            </w:r>
          </w:p>
        </w:tc>
      </w:tr>
      <w:tr w:rsidR="00393156" w:rsidRPr="00F34FC1" w14:paraId="7F9E5D5E" w14:textId="77777777" w:rsidTr="00982AE9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9EB1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▲3、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E829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2A1D" w14:textId="77777777" w:rsidR="00393156" w:rsidRPr="00F34FC1" w:rsidRDefault="00393156" w:rsidP="00982AE9">
            <w:pPr>
              <w:widowControl/>
              <w:jc w:val="left"/>
              <w:rPr>
                <w:rFonts w:ascii="宋体" w:eastAsia="宋体"/>
                <w:sz w:val="20"/>
                <w:szCs w:val="20"/>
              </w:rPr>
            </w:pPr>
            <w:r w:rsidRPr="00F34FC1">
              <w:rPr>
                <w:rFonts w:ascii="宋体" w:eastAsia="宋体" w:hint="eastAsia"/>
                <w:sz w:val="20"/>
                <w:szCs w:val="20"/>
              </w:rPr>
              <w:t>▲试剂及仪器在上海市或国家</w:t>
            </w:r>
            <w:proofErr w:type="gramStart"/>
            <w:r w:rsidRPr="00F34FC1">
              <w:rPr>
                <w:rFonts w:ascii="宋体" w:eastAsia="宋体" w:hint="eastAsia"/>
                <w:sz w:val="20"/>
                <w:szCs w:val="20"/>
              </w:rPr>
              <w:t>卫健委临检</w:t>
            </w:r>
            <w:proofErr w:type="gramEnd"/>
            <w:r w:rsidRPr="00F34FC1">
              <w:rPr>
                <w:rFonts w:ascii="宋体" w:eastAsia="宋体" w:hint="eastAsia"/>
                <w:sz w:val="20"/>
                <w:szCs w:val="20"/>
              </w:rPr>
              <w:t>中心室内或室间质评有分组或菜单包含品牌</w:t>
            </w:r>
          </w:p>
        </w:tc>
      </w:tr>
      <w:tr w:rsidR="00393156" w:rsidRPr="00F34FC1" w14:paraId="48EAF4A1" w14:textId="77777777" w:rsidTr="00982AE9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E03F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4、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CFE3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332D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所提供的试剂批号更换一年内不得多于3次。</w:t>
            </w:r>
          </w:p>
        </w:tc>
      </w:tr>
      <w:tr w:rsidR="00393156" w:rsidRPr="00F34FC1" w14:paraId="0AFA1B2C" w14:textId="77777777" w:rsidTr="00982AE9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8F90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★5、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87AA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6472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随试剂免费提供检测用耗材，如系统清洗液、反应杯等。</w:t>
            </w:r>
          </w:p>
        </w:tc>
      </w:tr>
      <w:tr w:rsidR="00393156" w:rsidRPr="00F34FC1" w14:paraId="0E32475B" w14:textId="77777777" w:rsidTr="00982AE9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0B7A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6、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0C68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B764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试剂及时配送，且应保证全程冷链运输。</w:t>
            </w:r>
          </w:p>
        </w:tc>
      </w:tr>
      <w:tr w:rsidR="00393156" w:rsidRPr="00F34FC1" w14:paraId="54A2AA77" w14:textId="77777777" w:rsidTr="00982AE9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213C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7、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D6F6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5EE1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当试剂出现不良事件时，响应时间应小于2小时。</w:t>
            </w:r>
          </w:p>
        </w:tc>
      </w:tr>
      <w:tr w:rsidR="00393156" w:rsidRPr="00F34FC1" w14:paraId="459B40B1" w14:textId="77777777" w:rsidTr="00982AE9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7111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lastRenderedPageBreak/>
              <w:t>8、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9136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9E29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当出现生产或运输所导致的试剂质量问题时，应免费退换货。</w:t>
            </w:r>
          </w:p>
        </w:tc>
      </w:tr>
      <w:tr w:rsidR="00393156" w:rsidRPr="00F34FC1" w14:paraId="1B0487B3" w14:textId="77777777" w:rsidTr="00982A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B02C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三、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7B13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配置清单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61BE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</w:tr>
      <w:tr w:rsidR="00393156" w:rsidRPr="00F34FC1" w14:paraId="5493F9E7" w14:textId="77777777" w:rsidTr="00982AE9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910E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1、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9450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8CD0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每个模块包含配套电脑，显示器，打印机，</w:t>
            </w:r>
            <w:proofErr w:type="gramStart"/>
            <w:r w:rsidRPr="00F34FC1">
              <w:rPr>
                <w:rFonts w:ascii="宋体" w:eastAsia="宋体" w:hint="eastAsia"/>
                <w:sz w:val="22"/>
                <w:szCs w:val="22"/>
              </w:rPr>
              <w:t>条码扫码器</w:t>
            </w:r>
            <w:proofErr w:type="gramEnd"/>
            <w:r w:rsidRPr="00F34FC1">
              <w:rPr>
                <w:rFonts w:ascii="宋体" w:eastAsia="宋体" w:hint="eastAsia"/>
                <w:sz w:val="22"/>
                <w:szCs w:val="22"/>
              </w:rPr>
              <w:t>各1套。</w:t>
            </w:r>
          </w:p>
        </w:tc>
      </w:tr>
      <w:tr w:rsidR="00393156" w:rsidRPr="00F34FC1" w14:paraId="332B7EEE" w14:textId="77777777" w:rsidTr="00982AE9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F3F3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2、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93BB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60B3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每个模块包含样本架，相应保养包各1套。</w:t>
            </w:r>
          </w:p>
        </w:tc>
      </w:tr>
      <w:tr w:rsidR="00393156" w:rsidRPr="00F34FC1" w14:paraId="76732774" w14:textId="77777777" w:rsidTr="0039315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4A60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★四、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1D83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售后服务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2638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</w:p>
        </w:tc>
      </w:tr>
      <w:tr w:rsidR="00393156" w:rsidRPr="00F34FC1" w14:paraId="01CD1E7B" w14:textId="77777777" w:rsidTr="00982AE9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89BF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1、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0ED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8416" w14:textId="77777777" w:rsidR="00393156" w:rsidRPr="00F34FC1" w:rsidRDefault="00393156" w:rsidP="00982AE9">
            <w:pPr>
              <w:widowControl/>
              <w:jc w:val="left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整机（含配制清单中的所有设备及材料）终身保修（至少6年）</w:t>
            </w:r>
          </w:p>
        </w:tc>
      </w:tr>
      <w:tr w:rsidR="00393156" w:rsidRPr="00F34FC1" w14:paraId="59B1B9C4" w14:textId="77777777" w:rsidTr="00982AE9">
        <w:trPr>
          <w:trHeight w:val="21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0A09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2、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BB56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A856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原厂负责售后服务，设备使用期间每年免费上门维护保养至少4次，所产生的维修费用（包括零部件费用、运返费用等费用)均由供应商承担，如24小时无法排出故障，应提供备机。</w:t>
            </w:r>
          </w:p>
        </w:tc>
      </w:tr>
      <w:tr w:rsidR="00393156" w:rsidRPr="00F34FC1" w14:paraId="1D029F20" w14:textId="77777777" w:rsidTr="00982AE9">
        <w:trPr>
          <w:trHeight w:val="10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7BD5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3、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55DF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2E64" w14:textId="77777777" w:rsidR="00393156" w:rsidRPr="00F34FC1" w:rsidRDefault="00393156" w:rsidP="00982AE9">
            <w:pPr>
              <w:widowControl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由原厂进行校准及保修，具备即时报修响应及24小时内上门服务能力。</w:t>
            </w:r>
          </w:p>
        </w:tc>
      </w:tr>
      <w:tr w:rsidR="00393156" w:rsidRPr="00F34FC1" w14:paraId="05A2E32A" w14:textId="77777777" w:rsidTr="00982AE9">
        <w:trPr>
          <w:trHeight w:val="10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5E94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4、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FFF9" w14:textId="77777777" w:rsidR="00393156" w:rsidRPr="00F34FC1" w:rsidRDefault="00393156" w:rsidP="00982AE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D3BE" w14:textId="77777777" w:rsidR="00393156" w:rsidRPr="00F34FC1" w:rsidRDefault="00393156" w:rsidP="00982AE9">
            <w:pPr>
              <w:widowControl/>
              <w:jc w:val="left"/>
              <w:rPr>
                <w:rFonts w:ascii="宋体" w:eastAsia="宋体"/>
                <w:sz w:val="22"/>
                <w:szCs w:val="22"/>
              </w:rPr>
            </w:pPr>
            <w:r w:rsidRPr="00F34FC1">
              <w:rPr>
                <w:rFonts w:ascii="宋体" w:eastAsia="宋体" w:hint="eastAsia"/>
                <w:sz w:val="22"/>
                <w:szCs w:val="22"/>
              </w:rPr>
              <w:t>设备支持LIS连接，自动传输数据，免费与医院现有</w:t>
            </w:r>
            <w:proofErr w:type="spellStart"/>
            <w:r w:rsidRPr="00F34FC1">
              <w:rPr>
                <w:rFonts w:ascii="宋体" w:eastAsia="宋体" w:hint="eastAsia"/>
                <w:sz w:val="22"/>
                <w:szCs w:val="22"/>
              </w:rPr>
              <w:t>lis</w:t>
            </w:r>
            <w:proofErr w:type="spellEnd"/>
            <w:r w:rsidRPr="00F34FC1">
              <w:rPr>
                <w:rFonts w:ascii="宋体" w:eastAsia="宋体" w:hint="eastAsia"/>
                <w:sz w:val="22"/>
                <w:szCs w:val="22"/>
              </w:rPr>
              <w:t>系统完成对接。</w:t>
            </w:r>
          </w:p>
        </w:tc>
      </w:tr>
    </w:tbl>
    <w:p w14:paraId="32EB5DAB" w14:textId="77777777" w:rsidR="00393156" w:rsidRPr="00393156" w:rsidRDefault="00393156" w:rsidP="00393156">
      <w:pPr>
        <w:jc w:val="center"/>
        <w:rPr>
          <w:rFonts w:ascii="黑体" w:eastAsia="黑体" w:hAnsi="黑体" w:hint="eastAsia"/>
        </w:rPr>
      </w:pPr>
    </w:p>
    <w:sectPr w:rsidR="00393156" w:rsidRPr="00393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7290" w14:textId="77777777" w:rsidR="005C473C" w:rsidRDefault="005C473C" w:rsidP="004D0A6F">
      <w:r>
        <w:separator/>
      </w:r>
    </w:p>
  </w:endnote>
  <w:endnote w:type="continuationSeparator" w:id="0">
    <w:p w14:paraId="76AA02CC" w14:textId="77777777" w:rsidR="005C473C" w:rsidRDefault="005C473C" w:rsidP="004D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898A" w14:textId="77777777" w:rsidR="005C473C" w:rsidRDefault="005C473C" w:rsidP="004D0A6F">
      <w:r>
        <w:separator/>
      </w:r>
    </w:p>
  </w:footnote>
  <w:footnote w:type="continuationSeparator" w:id="0">
    <w:p w14:paraId="1861882A" w14:textId="77777777" w:rsidR="005C473C" w:rsidRDefault="005C473C" w:rsidP="004D0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DB"/>
    <w:rsid w:val="001B69DB"/>
    <w:rsid w:val="00207A2F"/>
    <w:rsid w:val="00393156"/>
    <w:rsid w:val="004D0A6F"/>
    <w:rsid w:val="00561F84"/>
    <w:rsid w:val="005C473C"/>
    <w:rsid w:val="0067049F"/>
    <w:rsid w:val="00BD684F"/>
    <w:rsid w:val="00C6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F9FB8"/>
  <w15:chartTrackingRefBased/>
  <w15:docId w15:val="{B704342F-8D15-40A0-905B-59D9FEF2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A6F"/>
    <w:pPr>
      <w:widowControl w:val="0"/>
      <w:jc w:val="both"/>
    </w:pPr>
    <w:rPr>
      <w:rFonts w:ascii="仿宋_GB2312" w:eastAsia="仿宋_GB2312" w:hAnsi="宋体" w:cs="宋体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A6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A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A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A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4</cp:revision>
  <dcterms:created xsi:type="dcterms:W3CDTF">2023-07-11T07:58:00Z</dcterms:created>
  <dcterms:modified xsi:type="dcterms:W3CDTF">2023-07-11T08:03:00Z</dcterms:modified>
</cp:coreProperties>
</file>