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95" w:afterLines="50"/>
        <w:jc w:val="center"/>
        <w:textAlignment w:val="auto"/>
        <w:rPr>
          <w:rFonts w:hint="eastAsia" w:ascii="方正小标宋简体" w:hAnsi="方正小标宋简体" w:eastAsia="方正小标宋简体" w:cs="方正小标宋简体"/>
          <w:bCs/>
          <w:snapToGrid w:val="0"/>
          <w:kern w:val="0"/>
          <w:sz w:val="44"/>
          <w:szCs w:val="44"/>
        </w:rPr>
      </w:pPr>
      <w:bookmarkStart w:id="0" w:name="_GoBack"/>
      <w:r>
        <w:rPr>
          <w:rFonts w:hint="eastAsia" w:ascii="方正小标宋简体" w:hAnsi="方正小标宋简体" w:eastAsia="方正小标宋简体" w:cs="方正小标宋简体"/>
          <w:bCs/>
          <w:snapToGrid w:val="0"/>
          <w:kern w:val="0"/>
          <w:sz w:val="44"/>
          <w:szCs w:val="44"/>
          <w:lang w:val="en-US" w:eastAsia="zh-CN"/>
        </w:rPr>
        <w:t>肌电诱发电位仪</w:t>
      </w:r>
      <w:bookmarkEnd w:id="0"/>
      <w:r>
        <w:rPr>
          <w:rFonts w:hint="eastAsia" w:ascii="方正小标宋简体" w:hAnsi="方正小标宋简体" w:eastAsia="方正小标宋简体" w:cs="方正小标宋简体"/>
          <w:bCs/>
          <w:snapToGrid w:val="0"/>
          <w:kern w:val="0"/>
          <w:sz w:val="44"/>
          <w:szCs w:val="44"/>
        </w:rPr>
        <w:t>项目参数要求</w:t>
      </w:r>
    </w:p>
    <w:tbl>
      <w:tblPr>
        <w:tblStyle w:val="2"/>
        <w:tblW w:w="8816" w:type="dxa"/>
        <w:tblInd w:w="93" w:type="dxa"/>
        <w:tblLayout w:type="autofit"/>
        <w:tblCellMar>
          <w:top w:w="0" w:type="dxa"/>
          <w:left w:w="108" w:type="dxa"/>
          <w:bottom w:w="0" w:type="dxa"/>
          <w:right w:w="108" w:type="dxa"/>
        </w:tblCellMar>
      </w:tblPr>
      <w:tblGrid>
        <w:gridCol w:w="1140"/>
        <w:gridCol w:w="1427"/>
        <w:gridCol w:w="6249"/>
      </w:tblGrid>
      <w:tr>
        <w:tblPrEx>
          <w:tblCellMar>
            <w:top w:w="0" w:type="dxa"/>
            <w:left w:w="108" w:type="dxa"/>
            <w:bottom w:w="0" w:type="dxa"/>
            <w:right w:w="108" w:type="dxa"/>
          </w:tblCellMar>
        </w:tblPrEx>
        <w:trPr>
          <w:trHeight w:val="600" w:hRule="atLeast"/>
        </w:trPr>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eastAsia="宋体"/>
                <w:b/>
                <w:bCs/>
                <w:sz w:val="24"/>
                <w:szCs w:val="24"/>
              </w:rPr>
            </w:pPr>
            <w:r>
              <w:rPr>
                <w:rFonts w:hint="eastAsia"/>
                <w:b/>
                <w:bCs/>
                <w:sz w:val="24"/>
                <w:szCs w:val="24"/>
              </w:rPr>
              <w:t>序号</w:t>
            </w:r>
          </w:p>
        </w:tc>
        <w:tc>
          <w:tcPr>
            <w:tcW w:w="1427" w:type="dxa"/>
            <w:tcBorders>
              <w:top w:val="single" w:color="auto" w:sz="4" w:space="0"/>
              <w:left w:val="nil"/>
              <w:bottom w:val="single" w:color="auto" w:sz="4" w:space="0"/>
              <w:right w:val="single" w:color="auto" w:sz="4" w:space="0"/>
            </w:tcBorders>
            <w:noWrap w:val="0"/>
            <w:vAlign w:val="center"/>
          </w:tcPr>
          <w:p>
            <w:pPr>
              <w:jc w:val="center"/>
              <w:rPr>
                <w:rFonts w:ascii="宋体" w:eastAsia="宋体"/>
                <w:b/>
                <w:bCs/>
                <w:sz w:val="24"/>
                <w:szCs w:val="24"/>
              </w:rPr>
            </w:pPr>
            <w:r>
              <w:rPr>
                <w:rFonts w:hint="eastAsia"/>
                <w:b/>
                <w:bCs/>
                <w:sz w:val="24"/>
                <w:szCs w:val="24"/>
              </w:rPr>
              <w:t>　</w:t>
            </w:r>
          </w:p>
        </w:tc>
        <w:tc>
          <w:tcPr>
            <w:tcW w:w="6249" w:type="dxa"/>
            <w:tcBorders>
              <w:top w:val="single" w:color="auto" w:sz="4" w:space="0"/>
              <w:left w:val="nil"/>
              <w:bottom w:val="single" w:color="auto" w:sz="4" w:space="0"/>
              <w:right w:val="single" w:color="auto" w:sz="4" w:space="0"/>
            </w:tcBorders>
            <w:noWrap w:val="0"/>
            <w:vAlign w:val="center"/>
          </w:tcPr>
          <w:p>
            <w:pPr>
              <w:jc w:val="center"/>
              <w:rPr>
                <w:rFonts w:ascii="宋体" w:eastAsia="宋体"/>
                <w:b/>
                <w:bCs/>
                <w:sz w:val="24"/>
                <w:szCs w:val="24"/>
              </w:rPr>
            </w:pPr>
            <w:r>
              <w:rPr>
                <w:rFonts w:hint="eastAsia"/>
                <w:b/>
                <w:bCs/>
                <w:sz w:val="24"/>
                <w:szCs w:val="24"/>
              </w:rPr>
              <w:t>技术性能要求</w:t>
            </w:r>
          </w:p>
        </w:tc>
      </w:tr>
      <w:tr>
        <w:tblPrEx>
          <w:tblCellMar>
            <w:top w:w="0" w:type="dxa"/>
            <w:left w:w="108" w:type="dxa"/>
            <w:bottom w:w="0" w:type="dxa"/>
            <w:right w:w="108" w:type="dxa"/>
          </w:tblCellMar>
        </w:tblPrEx>
        <w:trPr>
          <w:trHeight w:val="2232"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1</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基本要求</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肌电图诱发电位系统，是对全身肌肉和神经系统功能状态进行检测的设备，是神经外科相关疾病诊断中的金标准。在神经外科的诊疗工作中应用十分广泛，如颈神经根病诊断、腰骶神经根病诊断、臂丛病变诊断、腕管综合征诊断、肘管综合征诊断、外伤致神经损伤情况鉴定、术中神经监护等。</w:t>
            </w:r>
            <w:r>
              <w:rPr>
                <w:rFonts w:hint="eastAsia"/>
                <w:color w:val="000000"/>
                <w:sz w:val="24"/>
                <w:szCs w:val="24"/>
              </w:rPr>
              <w:br w:type="textWrapping"/>
            </w:r>
            <w:r>
              <w:rPr>
                <w:rFonts w:hint="eastAsia"/>
                <w:color w:val="000000"/>
                <w:sz w:val="24"/>
                <w:szCs w:val="24"/>
              </w:rPr>
              <w:t>肌电图诱发电位系统的应用能大大提高我院在神经外科相关疾病诊断、鉴别诊断中的准确性，从而更好地为军民的医疗健康保驾护航，使更多患者早日摆脱病痛的折磨，使更多家庭免受经济之苦，也为减轻社会负担贡献属于医疗系统的一份力。</w:t>
            </w:r>
            <w:r>
              <w:rPr>
                <w:rFonts w:hint="eastAsia"/>
                <w:color w:val="000000"/>
                <w:sz w:val="24"/>
                <w:szCs w:val="24"/>
              </w:rPr>
              <w:br w:type="textWrapping"/>
            </w:r>
            <w:r>
              <w:rPr>
                <w:rFonts w:hint="eastAsia"/>
                <w:color w:val="000000"/>
                <w:sz w:val="24"/>
                <w:szCs w:val="24"/>
              </w:rPr>
              <w:t>肌电图诱发电位检查项目繁多，包括神经传导、针极肌电图、F波、H反射、重频电刺激、诱发电位等多种检查。与神经外科其他相关检查相比，肌电图诱发电位检查具有结果可靠、重复性高、适应人群广等优点，除了临床诊疗外，还在神经外科的科研进程中有十分重要的应用。</w:t>
            </w:r>
          </w:p>
        </w:tc>
      </w:tr>
      <w:tr>
        <w:tblPrEx>
          <w:tblCellMar>
            <w:top w:w="0" w:type="dxa"/>
            <w:left w:w="108" w:type="dxa"/>
            <w:bottom w:w="0" w:type="dxa"/>
            <w:right w:w="108" w:type="dxa"/>
          </w:tblCellMar>
        </w:tblPrEx>
        <w:trPr>
          <w:trHeight w:val="570"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2</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资质认证</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医疗器械注册证、中国CFDA和美国FDA</w:t>
            </w:r>
          </w:p>
        </w:tc>
      </w:tr>
      <w:tr>
        <w:tblPrEx>
          <w:tblCellMar>
            <w:top w:w="0" w:type="dxa"/>
            <w:left w:w="108" w:type="dxa"/>
            <w:bottom w:w="0" w:type="dxa"/>
            <w:right w:w="108" w:type="dxa"/>
          </w:tblCellMar>
        </w:tblPrEx>
        <w:trPr>
          <w:trHeight w:val="450"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设备技术和性能参数</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　</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3.1</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 xml:space="preserve">通道数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≥4通道放大器</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▲3.2</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 xml:space="preserve">放大器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一体化放大器，具备≥22个国际10-20标准电极输入接口</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★3.3</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采样率</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≥100KHz/通道</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▲3.4</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数模转换</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≥24bit 　 　 　</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3.5</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共模抑制比</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≥120dB 　 　 　</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3.6</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灵敏度</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0.01μV/D-100mV/D 　 　</w:t>
            </w:r>
          </w:p>
        </w:tc>
      </w:tr>
      <w:tr>
        <w:tblPrEx>
          <w:tblCellMar>
            <w:top w:w="0" w:type="dxa"/>
            <w:left w:w="108" w:type="dxa"/>
            <w:bottom w:w="0" w:type="dxa"/>
            <w:right w:w="108" w:type="dxa"/>
          </w:tblCellMar>
        </w:tblPrEx>
        <w:trPr>
          <w:trHeight w:val="46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3.7</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扫描速度</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0.05ms/D-18s/D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noWrap w:val="0"/>
            <w:vAlign w:val="center"/>
          </w:tcPr>
          <w:p>
            <w:pPr>
              <w:jc w:val="center"/>
              <w:rPr>
                <w:rFonts w:ascii="宋体" w:eastAsia="宋体"/>
                <w:color w:val="000000"/>
                <w:sz w:val="24"/>
                <w:szCs w:val="24"/>
              </w:rPr>
            </w:pPr>
            <w:r>
              <w:rPr>
                <w:rFonts w:hint="eastAsia"/>
                <w:color w:val="000000"/>
                <w:sz w:val="24"/>
                <w:szCs w:val="24"/>
              </w:rPr>
              <w:t>3.8</w:t>
            </w:r>
          </w:p>
        </w:tc>
        <w:tc>
          <w:tcPr>
            <w:tcW w:w="1427" w:type="dxa"/>
            <w:tcBorders>
              <w:top w:val="nil"/>
              <w:left w:val="nil"/>
              <w:bottom w:val="single" w:color="auto" w:sz="4" w:space="0"/>
              <w:right w:val="single" w:color="auto" w:sz="4" w:space="0"/>
            </w:tcBorders>
            <w:noWrap w:val="0"/>
            <w:vAlign w:val="center"/>
          </w:tcPr>
          <w:p>
            <w:pPr>
              <w:jc w:val="center"/>
              <w:rPr>
                <w:rFonts w:ascii="宋体" w:eastAsia="宋体"/>
                <w:sz w:val="24"/>
                <w:szCs w:val="24"/>
              </w:rPr>
            </w:pPr>
            <w:r>
              <w:rPr>
                <w:rFonts w:hint="eastAsia"/>
                <w:sz w:val="24"/>
                <w:szCs w:val="24"/>
              </w:rPr>
              <w:t>噪声抑制</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≤0.5μV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3.9</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 xml:space="preserve">控制面板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独立控制面板，具备0-9数字键。具备鼠标功能，能进行单击、右击。</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▲3.1O</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刺激器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具备双路电刺激、反射锤刺激、听觉刺激等接口，并可外接磁刺激器。</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3.11</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手柄电刺激器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具备≥5个多功能按键</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★3.12</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电刺激类型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内置恒流和恒压两种电刺激模式</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3.13</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刺激强度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0-100mA和0-400V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3.14</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听刺激类型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Click，Tone Pips，Tone Burst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▲3.15</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听刺激强度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最高可达140dB SPL</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3.16</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视觉刺激视野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全视野，半野，1/4野，1/8野，1/16野等（要求提供1/16野图片证明）</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3.17</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神经传导检查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运动神经传导；感觉神经传导；F波；H反射；重频电刺激；瞬目反射等</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3.18</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肌电图检查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包括自发肌电，运动单位分析，大力收缩，定量肌电图分析</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▲3.19</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多运动单位电位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一键采集≥10个MUP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3.20</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诱发电位检查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听觉诱发电位、视觉诱发电位、体感诱发电位等</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3.21</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自主神经检查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自主皮肤交感反射（SSR）、RR间期心率变异分析等</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3.22</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 xml:space="preserve">报警及安全指标 </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阻抗异常时红色提示</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4</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耗材/试剂性能参数</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4.1</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一次性同芯圆针电极</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记录面积≥0.07mm</w:t>
            </w:r>
            <w:r>
              <w:rPr>
                <w:rFonts w:hint="eastAsia" w:ascii="宋体" w:eastAsia="宋体"/>
                <w:color w:val="000000"/>
                <w:sz w:val="24"/>
                <w:szCs w:val="24"/>
              </w:rPr>
              <w:t>²</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sz w:val="24"/>
                <w:szCs w:val="24"/>
              </w:rPr>
            </w:pPr>
            <w:r>
              <w:rPr>
                <w:rFonts w:hint="eastAsia"/>
                <w:sz w:val="24"/>
                <w:szCs w:val="24"/>
              </w:rPr>
              <w:t>5</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配置需求</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sz w:val="24"/>
                <w:szCs w:val="24"/>
              </w:rPr>
            </w:pPr>
            <w:r>
              <w:rPr>
                <w:rFonts w:hint="eastAsia"/>
                <w:sz w:val="24"/>
                <w:szCs w:val="24"/>
              </w:rPr>
              <w:t>5.1</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软件</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能进行神经传导检查、肌电图检查、听觉诱发电位检查、视觉诱发电位检查、体感诱发电位检查、自主神经检查等</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sz w:val="24"/>
                <w:szCs w:val="24"/>
              </w:rPr>
            </w:pPr>
            <w:r>
              <w:rPr>
                <w:rFonts w:hint="eastAsia"/>
                <w:sz w:val="24"/>
                <w:szCs w:val="24"/>
              </w:rPr>
              <w:t>5.2</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sz w:val="24"/>
                <w:szCs w:val="24"/>
              </w:rPr>
            </w:pPr>
            <w:r>
              <w:rPr>
                <w:rFonts w:hint="eastAsia"/>
                <w:sz w:val="24"/>
                <w:szCs w:val="24"/>
              </w:rPr>
              <w:t>硬件</w:t>
            </w:r>
          </w:p>
        </w:tc>
        <w:tc>
          <w:tcPr>
            <w:tcW w:w="6249" w:type="dxa"/>
            <w:tcBorders>
              <w:top w:val="nil"/>
              <w:left w:val="nil"/>
              <w:bottom w:val="single" w:color="auto" w:sz="4" w:space="0"/>
              <w:right w:val="single" w:color="auto" w:sz="4" w:space="0"/>
            </w:tcBorders>
            <w:noWrap w:val="0"/>
            <w:vAlign w:val="center"/>
          </w:tcPr>
          <w:p>
            <w:pPr>
              <w:rPr>
                <w:rFonts w:ascii="宋体" w:eastAsia="宋体"/>
                <w:sz w:val="24"/>
                <w:szCs w:val="24"/>
              </w:rPr>
            </w:pPr>
            <w:r>
              <w:rPr>
                <w:rFonts w:hint="eastAsia"/>
                <w:sz w:val="24"/>
                <w:szCs w:val="24"/>
              </w:rPr>
              <w:t>计算机、打印机、肌电图主机、肌电图控制面板、多通道放大器、肌电图控制面板、多功能手柄电刺激器</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★6</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售后服务</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　</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6.1</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整机（含配制清单中的所有设备及材料）保修≥3年</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6.2</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投标供应商须承诺，对售后服务需求提供 4 小时响应，12小时内到达现场实施维修。24小时仍未排除故障、恢复正常运转的，由投标供应商提供同类型备机、备件等。</w:t>
            </w:r>
          </w:p>
        </w:tc>
      </w:tr>
      <w:tr>
        <w:tblPrEx>
          <w:tblCellMar>
            <w:top w:w="0" w:type="dxa"/>
            <w:left w:w="108" w:type="dxa"/>
            <w:bottom w:w="0" w:type="dxa"/>
            <w:right w:w="108" w:type="dxa"/>
          </w:tblCellMar>
        </w:tblPrEx>
        <w:trPr>
          <w:trHeight w:val="555" w:hRule="atLeast"/>
        </w:trPr>
        <w:tc>
          <w:tcPr>
            <w:tcW w:w="114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6.3</w:t>
            </w:r>
          </w:p>
        </w:tc>
        <w:tc>
          <w:tcPr>
            <w:tcW w:w="1427" w:type="dxa"/>
            <w:tcBorders>
              <w:top w:val="nil"/>
              <w:left w:val="nil"/>
              <w:bottom w:val="single" w:color="auto" w:sz="4" w:space="0"/>
              <w:right w:val="single" w:color="auto" w:sz="4" w:space="0"/>
            </w:tcBorders>
            <w:shd w:val="clear" w:color="000000" w:fill="FFFFFF"/>
            <w:noWrap w:val="0"/>
            <w:vAlign w:val="center"/>
          </w:tcPr>
          <w:p>
            <w:pPr>
              <w:jc w:val="center"/>
              <w:rPr>
                <w:rFonts w:ascii="宋体" w:eastAsia="宋体"/>
                <w:color w:val="000000"/>
                <w:sz w:val="24"/>
                <w:szCs w:val="24"/>
              </w:rPr>
            </w:pPr>
            <w:r>
              <w:rPr>
                <w:rFonts w:hint="eastAsia"/>
                <w:color w:val="000000"/>
                <w:sz w:val="24"/>
                <w:szCs w:val="24"/>
              </w:rPr>
              <w:t>　</w:t>
            </w:r>
          </w:p>
        </w:tc>
        <w:tc>
          <w:tcPr>
            <w:tcW w:w="6249" w:type="dxa"/>
            <w:tcBorders>
              <w:top w:val="nil"/>
              <w:left w:val="nil"/>
              <w:bottom w:val="single" w:color="auto" w:sz="4" w:space="0"/>
              <w:right w:val="single" w:color="auto" w:sz="4" w:space="0"/>
            </w:tcBorders>
            <w:noWrap w:val="0"/>
            <w:vAlign w:val="center"/>
          </w:tcPr>
          <w:p>
            <w:pPr>
              <w:rPr>
                <w:rFonts w:ascii="宋体" w:eastAsia="宋体"/>
                <w:color w:val="000000"/>
                <w:sz w:val="24"/>
                <w:szCs w:val="24"/>
              </w:rPr>
            </w:pPr>
            <w:r>
              <w:rPr>
                <w:rFonts w:hint="eastAsia"/>
                <w:color w:val="000000"/>
                <w:sz w:val="24"/>
                <w:szCs w:val="24"/>
              </w:rPr>
              <w:t>原厂负责售后服务承诺应包含以下内容：当地有常驻工程师和技术人员提供技术支持服务。原厂必须保证维修更换的零配件，均为原厂全新的零配件。售后服务承诺函需原厂盖章且注明招标项目名称及项目编号。若超过24小时无法排除故障，应提供备用机。</w:t>
            </w:r>
          </w:p>
        </w:tc>
      </w:tr>
    </w:tbl>
    <w:p>
      <w:pPr>
        <w:widowControl/>
        <w:jc w:val="left"/>
        <w:rPr>
          <w:rFonts w:hint="eastAsia" w:ascii="宋体" w:hAnsi="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F32051DB-D286-475E-B760-ABDB66133F83}"/>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6B114D88"/>
    <w:rsid w:val="06876AC6"/>
    <w:rsid w:val="1EA03AC2"/>
    <w:rsid w:val="2A88659C"/>
    <w:rsid w:val="30EA6967"/>
    <w:rsid w:val="514326A4"/>
    <w:rsid w:val="6B11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2664</Characters>
  <Lines>0</Lines>
  <Paragraphs>0</Paragraphs>
  <TotalTime>3</TotalTime>
  <ScaleCrop>false</ScaleCrop>
  <LinksUpToDate>false</LinksUpToDate>
  <CharactersWithSpaces>2681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2023-09-08T08:32:00Z</dcterms:created>
  <dc:creator>Liu</dc:creator>
  <cp:lastModifiedBy>Liu</cp:lastModifiedBy>
  <dcterms:modified xsi:type="dcterms:W3CDTF">2023-09-19T06:08:37Z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9AEE4F5634A64DA08E0741E8C7D30AEC_11</vt:lpwstr>
  </property>
</Properties>
</file>