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089" w:type="dxa"/>
        <w:tblInd w:w="-2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256"/>
        <w:gridCol w:w="2725"/>
        <w:gridCol w:w="51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9089" w:type="dxa"/>
            <w:gridSpan w:val="3"/>
            <w:tcBorders>
              <w:top w:val="nil"/>
              <w:left w:val="nil"/>
              <w:bottom w:val="single" w:color="000000" w:sz="4" w:space="0"/>
              <w:right w:val="nil"/>
            </w:tcBorders>
            <w:shd w:val="clear"/>
            <w:noWrap/>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44"/>
                <w:szCs w:val="44"/>
                <w:u w:val="none"/>
                <w:lang w:val="en-US"/>
              </w:rPr>
            </w:pPr>
            <w:r>
              <w:rPr>
                <w:rFonts w:hint="eastAsia" w:ascii="方正小标宋简体" w:hAnsi="方正小标宋简体" w:eastAsia="方正小标宋简体" w:cs="方正小标宋简体"/>
                <w:i w:val="0"/>
                <w:iCs w:val="0"/>
                <w:color w:val="000000"/>
                <w:kern w:val="0"/>
                <w:sz w:val="44"/>
                <w:szCs w:val="44"/>
                <w:u w:val="none"/>
                <w:bdr w:val="none" w:color="auto" w:sz="0" w:space="0"/>
                <w:lang w:val="en-US" w:eastAsia="zh-CN" w:bidi="ar"/>
              </w:rPr>
              <w:t>智能便携式心身健康保障系统项目参数要求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7833"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技术性能要求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基本要求</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客观检查与主观评估相结合，采用人机智能交互方式，对患者的生物、心理、社会等方面多个维度的全面评估，为临床决策提供线索和依据。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设备技术和性能参数</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bCs/>
                <w:i w:val="0"/>
                <w:iCs w:val="0"/>
                <w:color w:val="000000"/>
                <w:sz w:val="22"/>
                <w:szCs w:val="22"/>
                <w:u w:val="none"/>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硬件性能</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测评终端外观：便携式一体机，≥14英寸屏幕，加固式设计，具有良好的抗振性，方便外出携带和恶劣环境，整体重量≤5kg。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测评终端电脑配置：CPU英特尔15及以上,内存≥32G,固态硬盘≥512G,Windows Sever2019及以上操作系统。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bdr w:val="none" w:color="auto" w:sz="0" w:space="0"/>
                <w:lang w:val="en-US" w:eastAsia="zh-CN" w:bidi="ar"/>
              </w:rPr>
              <w:t>测评终端:采样频率≥1000Hz,脉搏速率测试范围:30</w:t>
            </w:r>
            <w:r>
              <w:rPr>
                <w:rStyle w:val="5"/>
                <w:bdr w:val="none" w:color="auto" w:sz="0" w:space="0"/>
                <w:lang w:val="en-US" w:eastAsia="zh-CN" w:bidi="ar"/>
              </w:rPr>
              <w:t>~</w:t>
            </w:r>
            <w:r>
              <w:rPr>
                <w:rStyle w:val="4"/>
                <w:bdr w:val="none" w:color="auto" w:sz="0" w:space="0"/>
                <w:lang w:val="en-US" w:eastAsia="zh-CN" w:bidi="ar"/>
              </w:rPr>
              <w:t>245bpm；脉搏速率测试精度:≤±3bpm。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测评终端内置≥6600mAh电池,可供设备独立运行时间</w:t>
            </w:r>
            <w:r>
              <w:rPr>
                <w:rStyle w:val="7"/>
                <w:rFonts w:eastAsia="宋体"/>
                <w:bdr w:val="none" w:color="auto" w:sz="0" w:space="0"/>
                <w:lang w:val="en-US" w:eastAsia="zh-CN" w:bidi="ar"/>
              </w:rPr>
              <w:t>&gt;</w:t>
            </w:r>
            <w:r>
              <w:rPr>
                <w:rStyle w:val="6"/>
                <w:bdr w:val="none" w:color="auto" w:sz="0" w:space="0"/>
                <w:lang w:val="en-US" w:eastAsia="zh-CN" w:bidi="ar"/>
              </w:rPr>
              <w:t>1小时。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移动终端:</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手机,Android系统,≥5英寸,≥3G内存,≥32G硬盘,可WIFI连接。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软件功能</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智能任务导向:以智能任务导向,提供智能任务模板及调整模式,对患者的精神心理</w:t>
            </w:r>
            <w:r>
              <w:rPr>
                <w:rStyle w:val="8"/>
                <w:rFonts w:eastAsia="宋体"/>
                <w:bdr w:val="none" w:color="auto" w:sz="0" w:space="0"/>
                <w:lang w:val="en-US" w:eastAsia="zh-CN" w:bidi="ar"/>
              </w:rPr>
              <w:t>ˎ</w:t>
            </w:r>
            <w:r>
              <w:rPr>
                <w:rStyle w:val="6"/>
                <w:bdr w:val="none" w:color="auto" w:sz="0" w:space="0"/>
                <w:lang w:val="en-US" w:eastAsia="zh-CN" w:bidi="ar"/>
              </w:rPr>
              <w:t>躯体症状</w:t>
            </w:r>
            <w:r>
              <w:rPr>
                <w:rStyle w:val="8"/>
                <w:rFonts w:eastAsia="宋体"/>
                <w:bdr w:val="none" w:color="auto" w:sz="0" w:space="0"/>
                <w:lang w:val="en-US" w:eastAsia="zh-CN" w:bidi="ar"/>
              </w:rPr>
              <w:t>ˎ</w:t>
            </w:r>
            <w:r>
              <w:rPr>
                <w:rStyle w:val="6"/>
                <w:bdr w:val="none" w:color="auto" w:sz="0" w:space="0"/>
                <w:lang w:val="en-US" w:eastAsia="zh-CN" w:bidi="ar"/>
              </w:rPr>
              <w:t>压力状态</w:t>
            </w:r>
            <w:r>
              <w:rPr>
                <w:rStyle w:val="8"/>
                <w:rFonts w:eastAsia="宋体"/>
                <w:bdr w:val="none" w:color="auto" w:sz="0" w:space="0"/>
                <w:lang w:val="en-US" w:eastAsia="zh-CN" w:bidi="ar"/>
              </w:rPr>
              <w:t>ˎ</w:t>
            </w:r>
            <w:r>
              <w:rPr>
                <w:rStyle w:val="6"/>
                <w:bdr w:val="none" w:color="auto" w:sz="0" w:space="0"/>
                <w:lang w:val="en-US" w:eastAsia="zh-CN" w:bidi="ar"/>
              </w:rPr>
              <w:t>生活应激</w:t>
            </w:r>
            <w:r>
              <w:rPr>
                <w:rStyle w:val="8"/>
                <w:rFonts w:eastAsia="宋体"/>
                <w:bdr w:val="none" w:color="auto" w:sz="0" w:space="0"/>
                <w:lang w:val="en-US" w:eastAsia="zh-CN" w:bidi="ar"/>
              </w:rPr>
              <w:t>ˎ</w:t>
            </w:r>
            <w:r>
              <w:rPr>
                <w:rStyle w:val="6"/>
                <w:bdr w:val="none" w:color="auto" w:sz="0" w:space="0"/>
                <w:lang w:val="en-US" w:eastAsia="zh-CN" w:bidi="ar"/>
              </w:rPr>
              <w:t>社会支持</w:t>
            </w:r>
            <w:r>
              <w:rPr>
                <w:rStyle w:val="8"/>
                <w:rFonts w:eastAsia="宋体"/>
                <w:bdr w:val="none" w:color="auto" w:sz="0" w:space="0"/>
                <w:lang w:val="en-US" w:eastAsia="zh-CN" w:bidi="ar"/>
              </w:rPr>
              <w:t>ˎ</w:t>
            </w:r>
            <w:r>
              <w:rPr>
                <w:rStyle w:val="6"/>
                <w:bdr w:val="none" w:color="auto" w:sz="0" w:space="0"/>
                <w:lang w:val="en-US" w:eastAsia="zh-CN" w:bidi="ar"/>
              </w:rPr>
              <w:t>性格特质等多个维度进行全面深入的评估</w:t>
            </w:r>
            <w:r>
              <w:rPr>
                <w:rStyle w:val="8"/>
                <w:rFonts w:eastAsia="宋体"/>
                <w:bdr w:val="none" w:color="auto" w:sz="0" w:space="0"/>
                <w:lang w:val="en-US" w:eastAsia="zh-CN" w:bidi="ar"/>
              </w:rPr>
              <w:t>,</w:t>
            </w:r>
            <w:r>
              <w:rPr>
                <w:rStyle w:val="6"/>
                <w:bdr w:val="none" w:color="auto" w:sz="0" w:space="0"/>
                <w:lang w:val="en-US" w:eastAsia="zh-CN" w:bidi="ar"/>
              </w:rPr>
              <w:t>覆盖心身疾病主要影响因子和常见危险因素。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患者及档案管理功能:能预先批量导入患者信息的Excel表,也能在开始测评前随时添加患者信息.能快速读取患者的数据,建立患者档案库,并对单个患者进行持续性追踪及治疗提醒。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系统软件具有中华人民共和国国家版权局认证的计算机软件著作权登记证书。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脉搏血氧采样终端具有中华人民共和国医疗器械注册证。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采用独立量表问答方式,提高评估效率。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3.6</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可通过扫描二维码在移动端测评,可同时容纳100人以上用移动端测评。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3.7</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测评报告功能需具备:患者的基本信息、躯体症状、精神症状、压力状态、性格特点、社会功能、自主神经检查等内容</w:t>
            </w:r>
            <w:r>
              <w:rPr>
                <w:rStyle w:val="8"/>
                <w:rFonts w:eastAsia="宋体"/>
                <w:bdr w:val="none" w:color="auto" w:sz="0" w:space="0"/>
                <w:lang w:val="en-US" w:eastAsia="zh-CN" w:bidi="ar"/>
              </w:rPr>
              <w:t>,</w:t>
            </w:r>
            <w:r>
              <w:rPr>
                <w:rStyle w:val="6"/>
                <w:bdr w:val="none" w:color="auto" w:sz="0" w:space="0"/>
                <w:lang w:val="en-US" w:eastAsia="zh-CN" w:bidi="ar"/>
              </w:rPr>
              <w:t>能对全部报告进行统计分类，可以批量导出。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3.8</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支持量表库动态升级。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▲3.9</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支持高危人群预警筛选。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可查询患者测评报告、测评记录。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心率变异性分析</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采用即时采集、即时显示、即时保存的方式。加入即时分析QRS波形，计算心率、实时打印的功能，并提供多种滤波开关用于去除漂移及干扰。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自主神经系统功能测评需具备:自主神经系统活性,自主神经系统平衡性,自主神经系统稳定性。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8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具备时域分析和频域分析功能:</w:t>
            </w:r>
            <w:r>
              <w:rPr>
                <w:rStyle w:val="6"/>
                <w:bdr w:val="none" w:color="auto" w:sz="0" w:space="0"/>
                <w:lang w:val="en-US" w:eastAsia="zh-CN" w:bidi="ar"/>
              </w:rPr>
              <w:br w:type="textWrapping"/>
            </w:r>
            <w:r>
              <w:rPr>
                <w:rStyle w:val="6"/>
                <w:bdr w:val="none" w:color="auto" w:sz="0" w:space="0"/>
                <w:lang w:val="en-US" w:eastAsia="zh-CN" w:bidi="ar"/>
              </w:rPr>
              <w:t>时域分析:Mean HR、SDNN、RMSSD、SRD；频域分析：TP、VLF、LF、HF、LF norm、HF norm、LF/HF ratio。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HRV波形采用反走样技术清晰显示,并具有导联位置智能调整功能,解决基线漂移或波形幅值过高等原因引起的波形重叠问题。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采用≥1000Hz的采样频率,保证波形不失真.采用高分辨率的显示和打印输出,表现波形细节。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3.11.6</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提供包含6x2ˎ3x4ˎ3x4+2等十几种同步及连续的显示与打印模式,同时具备波形叠加分析ˎ电子标尺ˎ可编辑术语库等辅助工具,方便诊断及临床应用。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配置需求</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工作站主机含显示器*1套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测评终端:手机*2台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心身疾病评估专家系统软件*1套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心率变异性分析系统软件*1套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信号发射器*1套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4.6</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指夹*1套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4.7</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4"/>
                <w:szCs w:val="24"/>
                <w:u w:val="none"/>
              </w:rPr>
            </w:pP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便携机专用包*1个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售后服务</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22"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5.1</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原厂保修年限</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≥3年，保修期内开机率不低于95%（按365日/年计算，含节假日)，未达到要求的开机率天数，按双倍天数顺延保修期。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5.2</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预防性维修</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/定期维护保养</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保修期内按维修手册要求提供定期维护保养服务。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5.3</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维修响应时间</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维修到达现场时间≤3个工作日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72"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5.4</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配件报价</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提供消耗性配件（年平均更换大于1次的配件）和高值配件（价格大于设备成交价5%以上）的报价清单，且高值配件报价之和不得高于设备成交价的110%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5.5</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升级与软件维护</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保修期内免费升级和软件维护；保修期外，原软件维护仅收工时费。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5.6</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维修工时费计算方法及价格</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至少提供按小时计费和按故障点计费两种方式，用户可自行选择。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0"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5.7</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专用工具、资料及其它</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6"/>
                <w:bdr w:val="none" w:color="auto" w:sz="0" w:space="0"/>
                <w:lang w:val="en-US" w:eastAsia="zh-CN" w:bidi="ar"/>
              </w:rPr>
              <w:t>提供设备配套的维修专用工具（如有），资料（操作手册、维修手册等）。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0" w:hRule="atLeast"/>
        </w:trPr>
        <w:tc>
          <w:tcPr>
            <w:tcW w:w="1256" w:type="dxa"/>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5.8</w:t>
            </w:r>
          </w:p>
        </w:tc>
        <w:tc>
          <w:tcPr>
            <w:tcW w:w="2725" w:type="dxa"/>
            <w:tcBorders>
              <w:top w:val="single" w:color="000000" w:sz="4" w:space="0"/>
              <w:left w:val="single" w:color="000000" w:sz="4" w:space="0"/>
              <w:bottom w:val="nil"/>
              <w:right w:val="nil"/>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培训</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原厂工程师提供现场设备使用培训。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125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5.9</w:t>
            </w:r>
          </w:p>
        </w:tc>
        <w:tc>
          <w:tcPr>
            <w:tcW w:w="272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交货期</w:t>
            </w:r>
          </w:p>
        </w:tc>
        <w:tc>
          <w:tcPr>
            <w:tcW w:w="510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合同签订后1个月内交货。</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7954F86-D9EB-4831-8A10-715644805BF5}"/>
  </w:font>
  <w:font w:name="方正小标宋简体">
    <w:panose1 w:val="02000000000000000000"/>
    <w:charset w:val="86"/>
    <w:family w:val="auto"/>
    <w:pitch w:val="default"/>
    <w:sig w:usb0="00000001" w:usb1="080E0000" w:usb2="00000000" w:usb3="00000000" w:csb0="00040000" w:csb1="00000000"/>
    <w:embedRegular r:id="rId2" w:fontKey="{4CB0DCB1-4E4B-4291-93CA-D5195BFE22C5}"/>
  </w:font>
  <w:font w:name="微软雅黑">
    <w:panose1 w:val="020B0503020204020204"/>
    <w:charset w:val="86"/>
    <w:family w:val="auto"/>
    <w:pitch w:val="default"/>
    <w:sig w:usb0="80000287" w:usb1="2ACF3C50" w:usb2="00000016" w:usb3="00000000" w:csb0="0004001F" w:csb1="00000000"/>
    <w:embedRegular r:id="rId3" w:fontKey="{EA2DD38C-CDCE-459C-A7AB-7D019A563D07}"/>
  </w:font>
  <w:font w:name="Arial">
    <w:panose1 w:val="020B0604020202020204"/>
    <w:charset w:val="00"/>
    <w:family w:val="auto"/>
    <w:pitch w:val="default"/>
    <w:sig w:usb0="E0002EFF" w:usb1="C000785B" w:usb2="00000009" w:usb3="00000000" w:csb0="400001FF" w:csb1="FFFF0000"/>
    <w:embedRegular r:id="rId4" w:fontKey="{46C4F94F-0AE4-484C-9BEA-19EE9553962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TgyZDNjNzY2ZWJlYTM2Mjg0MTQ4Njk1ODhiMjEifQ=="/>
  </w:docVars>
  <w:rsids>
    <w:rsidRoot w:val="22485B65"/>
    <w:rsid w:val="2248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51"/>
    <w:basedOn w:val="3"/>
    <w:uiPriority w:val="0"/>
    <w:rPr>
      <w:rFonts w:hint="eastAsia" w:ascii="宋体" w:hAnsi="宋体" w:eastAsia="宋体" w:cs="宋体"/>
      <w:color w:val="000000"/>
      <w:sz w:val="24"/>
      <w:szCs w:val="24"/>
      <w:u w:val="none"/>
    </w:rPr>
  </w:style>
  <w:style w:type="character" w:customStyle="1" w:styleId="5">
    <w:name w:val="font131"/>
    <w:basedOn w:val="3"/>
    <w:uiPriority w:val="0"/>
    <w:rPr>
      <w:rFonts w:ascii="微软雅黑" w:hAnsi="微软雅黑" w:eastAsia="微软雅黑" w:cs="微软雅黑"/>
      <w:color w:val="000000"/>
      <w:sz w:val="24"/>
      <w:szCs w:val="24"/>
      <w:u w:val="none"/>
    </w:rPr>
  </w:style>
  <w:style w:type="character" w:customStyle="1" w:styleId="6">
    <w:name w:val="font61"/>
    <w:basedOn w:val="3"/>
    <w:uiPriority w:val="0"/>
    <w:rPr>
      <w:rFonts w:hint="eastAsia" w:ascii="宋体" w:hAnsi="宋体" w:eastAsia="宋体" w:cs="宋体"/>
      <w:color w:val="000000"/>
      <w:sz w:val="22"/>
      <w:szCs w:val="22"/>
      <w:u w:val="none"/>
    </w:rPr>
  </w:style>
  <w:style w:type="character" w:customStyle="1" w:styleId="7">
    <w:name w:val="font141"/>
    <w:basedOn w:val="3"/>
    <w:uiPriority w:val="0"/>
    <w:rPr>
      <w:rFonts w:ascii="Calibri" w:hAnsi="Calibri" w:cs="Calibri"/>
      <w:color w:val="000000"/>
      <w:sz w:val="22"/>
      <w:szCs w:val="22"/>
      <w:u w:val="none"/>
    </w:rPr>
  </w:style>
  <w:style w:type="character" w:customStyle="1" w:styleId="8">
    <w:name w:val="font151"/>
    <w:basedOn w:val="3"/>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2023-11-20T07:02:00Z</dcterms:created>
  <dc:creator>Liu</dc:creator>
  <cp:lastModifiedBy>Liu</cp:lastModifiedBy>
  <cp:lastPrinted>2023-11-20T07:04:52Z</cp:lastPrinted>
  <dcterms:modified xsi:type="dcterms:W3CDTF">2023-11-20T07:05:50Z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3C731161F5D6419EB24C6FEEB8DD0148_11</vt:lpwstr>
  </property>
</Properties>
</file>