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技术参数需求确认表</w:t>
      </w:r>
    </w:p>
    <w:p>
      <w:bookmarkStart w:id="0" w:name="_GoBack"/>
      <w:bookmarkEnd w:id="0"/>
    </w:p>
    <w:tbl>
      <w:tblPr>
        <w:tblStyle w:val="2"/>
        <w:tblW w:w="93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816"/>
        <w:gridCol w:w="6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6" w:type="dxa"/>
            <w:shd w:val="clear" w:color="auto" w:fill="auto"/>
            <w:noWrap w:val="0"/>
            <w:vAlign w:val="center"/>
          </w:tcPr>
          <w:p>
            <w:pPr>
              <w:jc w:val="center"/>
              <w:rPr>
                <w:rFonts w:ascii="宋体" w:eastAsia="宋体"/>
                <w:b/>
                <w:bCs/>
                <w:sz w:val="24"/>
                <w:szCs w:val="24"/>
              </w:rPr>
            </w:pPr>
            <w:r>
              <w:rPr>
                <w:rFonts w:hint="eastAsia"/>
                <w:b/>
                <w:bCs/>
                <w:sz w:val="24"/>
                <w:szCs w:val="24"/>
              </w:rPr>
              <w:t>序号</w:t>
            </w:r>
          </w:p>
        </w:tc>
        <w:tc>
          <w:tcPr>
            <w:tcW w:w="1816" w:type="dxa"/>
            <w:shd w:val="clear" w:color="auto" w:fill="auto"/>
            <w:noWrap w:val="0"/>
            <w:vAlign w:val="center"/>
          </w:tcPr>
          <w:p>
            <w:pPr>
              <w:jc w:val="center"/>
              <w:rPr>
                <w:rFonts w:ascii="宋体" w:eastAsia="宋体"/>
                <w:b/>
                <w:bCs/>
                <w:sz w:val="24"/>
                <w:szCs w:val="24"/>
              </w:rPr>
            </w:pPr>
            <w:r>
              <w:rPr>
                <w:rFonts w:hint="eastAsia"/>
                <w:b/>
                <w:bCs/>
                <w:sz w:val="24"/>
                <w:szCs w:val="24"/>
              </w:rPr>
              <w:t>　</w:t>
            </w:r>
          </w:p>
        </w:tc>
        <w:tc>
          <w:tcPr>
            <w:tcW w:w="6358" w:type="dxa"/>
            <w:shd w:val="clear" w:color="auto" w:fill="auto"/>
            <w:noWrap w:val="0"/>
            <w:vAlign w:val="center"/>
          </w:tcPr>
          <w:p>
            <w:pPr>
              <w:jc w:val="center"/>
              <w:rPr>
                <w:rFonts w:ascii="宋体" w:eastAsia="宋体"/>
                <w:b/>
                <w:bCs/>
                <w:sz w:val="24"/>
                <w:szCs w:val="24"/>
              </w:rPr>
            </w:pPr>
            <w:r>
              <w:rPr>
                <w:rFonts w:hint="eastAsia"/>
                <w:b/>
                <w:bCs/>
                <w:sz w:val="24"/>
                <w:szCs w:val="24"/>
              </w:rPr>
              <w:t>技术性能要求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基本要求</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能用于对患者影像学检查或触诊异常的乳腺组织进行部分或全部切除活检取样。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整机</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2.1.1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 xml:space="preserve">功率≥250W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2.1.2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吸引方式：间歇吸引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2.1.3</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真空负压： -85kPa±5kPa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2.1.4</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抽气速率： 20L/min～30L/min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主机</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工作状态时屏幕能够实时显示旋切针状态、负压、废液量、切割次数；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≥15英寸全彩触摸屏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★2.2.3</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具有常规模式/致密模式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▲2.2.4</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具有常规抽吸/强力抽吸，强力抽吸时可连续真空吸取组织液和血液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2.2.5</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实时显示废液量，具有废液满溢提示功能.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2.2.6</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具有故障自诊断功能。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2.2.7</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具有活检针自动识别功能，安装后工作参数自动初始化；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2.2.8</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取样槽可在5mm-30mm范围内无级调节；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2.2.9</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具有脚踏和手柄控制两种控制方式；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2.2.10</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真空桶有透明窗口，可以直视液面水平；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2.3</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脚踏</w:t>
            </w:r>
          </w:p>
        </w:tc>
        <w:tc>
          <w:tcPr>
            <w:tcW w:w="6358" w:type="dxa"/>
            <w:shd w:val="clear" w:color="000000" w:fill="FFFFFF"/>
            <w:noWrap w:val="0"/>
            <w:vAlign w:val="center"/>
          </w:tcPr>
          <w:p>
            <w:pP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2.3.1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线缆长≥3m；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2.3.2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IPX8防水等级，防滑、防侧翻；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2.4</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驱动手柄</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2.4.1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单电机驱动；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2.4.2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工作时手柄具有实时显示活检针有效取样槽的状态的功能；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2.5</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真空桶</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2.5.1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防溢流结构设计；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耗材/试剂性能参数</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活检针</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三凹面刀尖设计；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全通道设计；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▲3.1.3</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360°单向旋转切割；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★3.1.4</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封闭取样；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3.1.5</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至少包含六种型号：外刀管直径7G/10G/12G，有效长度110mm/150mm；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3.1.6</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 xml:space="preserve">取样槽周向位置调节灵活，可360°范围内任意选择取样槽开窗方向，外部具有开窗方向指示标识；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3.1.7</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外导管刻度清晰可见；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配置需求</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对设备软件、硬件、器械、配件耗材配置及数量要求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软件</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乳房病灶旋切式活检系统控制软件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硬件</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4.2.1</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主机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4.2.2</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脚踏开关  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4.2.3</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活检手柄  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4.2.4</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000000" w:fill="FFFFFF"/>
            <w:noWrap w:val="0"/>
            <w:vAlign w:val="center"/>
          </w:tcPr>
          <w:p>
            <w:pPr>
              <w:rPr>
                <w:rFonts w:ascii="宋体" w:eastAsia="宋体"/>
                <w:color w:val="000000"/>
                <w:sz w:val="24"/>
                <w:szCs w:val="24"/>
              </w:rPr>
            </w:pPr>
            <w:r>
              <w:rPr>
                <w:rFonts w:hint="eastAsia"/>
                <w:color w:val="000000"/>
                <w:sz w:val="24"/>
                <w:szCs w:val="24"/>
              </w:rPr>
              <w:t>一次性使用真空桶 20件，根据用户需求按时送货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4.2.5</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一次性使用过滤器 20件，根据用户需求按时送货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4.2.6</w:t>
            </w:r>
          </w:p>
        </w:tc>
        <w:tc>
          <w:tcPr>
            <w:tcW w:w="1816"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一次性使用真空管 20件，根据用户需求按时送货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rPr>
                <w:rFonts w:ascii="宋体" w:eastAsia="宋体"/>
                <w:color w:val="000000"/>
                <w:sz w:val="24"/>
                <w:szCs w:val="24"/>
              </w:rPr>
            </w:pPr>
            <w:r>
              <w:rPr>
                <w:rFonts w:hint="eastAsia"/>
                <w:color w:val="000000"/>
                <w:sz w:val="24"/>
                <w:szCs w:val="24"/>
              </w:rPr>
              <w:t>4.2.7</w:t>
            </w:r>
          </w:p>
        </w:tc>
        <w:tc>
          <w:tcPr>
            <w:tcW w:w="181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　</w:t>
            </w:r>
          </w:p>
        </w:tc>
        <w:tc>
          <w:tcPr>
            <w:tcW w:w="6358" w:type="dxa"/>
            <w:shd w:val="clear" w:color="auto" w:fill="auto"/>
            <w:noWrap w:val="0"/>
            <w:vAlign w:val="center"/>
          </w:tcPr>
          <w:p>
            <w:pPr>
              <w:rPr>
                <w:rFonts w:ascii="宋体" w:eastAsia="宋体"/>
                <w:color w:val="000000"/>
                <w:sz w:val="24"/>
                <w:szCs w:val="24"/>
              </w:rPr>
            </w:pPr>
            <w:r>
              <w:rPr>
                <w:rFonts w:hint="eastAsia"/>
                <w:color w:val="000000"/>
                <w:sz w:val="24"/>
                <w:szCs w:val="24"/>
              </w:rPr>
              <w:t>活检针10个</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WY0OTEyZWMxNWM2ZWEzYzIwMzlmYjQ3MDE4MTEifQ=="/>
  </w:docVars>
  <w:rsids>
    <w:rsidRoot w:val="49A2472B"/>
    <w:rsid w:val="49A2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2024-02-02T07:41:00Z</dcterms:created>
  <dc:creator>Administrator</dc:creator>
  <cp:lastModifiedBy>Administrator</cp:lastModifiedBy>
  <cp:lastPrinted>2024-02-02T07:42:07Z</cp:lastPrinted>
  <dcterms:modified xsi:type="dcterms:W3CDTF">2024-02-02T07:42:42Z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5CC5F868062B4D4BB39C0884CAD02B83_11</vt:lpwstr>
  </property>
</Properties>
</file>