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100" w:after="313" w:afterLines="100" w:line="560" w:lineRule="exact"/>
        <w:jc w:val="center"/>
        <w:textAlignment w:val="auto"/>
        <w:outlineLvl w:val="0"/>
        <w:rPr>
          <w:rFonts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lang w:val="en-US" w:eastAsia="zh-CN"/>
        </w:rPr>
        <w:t>临终关怀项目服务要求</w:t>
      </w:r>
    </w:p>
    <w:p>
      <w:pPr>
        <w:pStyle w:val="6"/>
        <w:pageBreakBefore w:val="0"/>
        <w:widowControl w:val="0"/>
        <w:numPr>
          <w:ilvl w:val="0"/>
          <w:numId w:val="0"/>
        </w:numPr>
        <w:kinsoku/>
        <w:wordWrap/>
        <w:overflowPunct/>
        <w:topLinePunct w:val="0"/>
        <w:autoSpaceDE w:val="0"/>
        <w:autoSpaceDN w:val="0"/>
        <w:bidi w:val="0"/>
        <w:adjustRightInd w:val="0"/>
        <w:spacing w:line="360" w:lineRule="auto"/>
        <w:ind w:left="568"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项目概况</w:t>
      </w:r>
    </w:p>
    <w:p>
      <w:pPr>
        <w:pStyle w:val="6"/>
        <w:pageBreakBefore w:val="0"/>
        <w:widowControl w:val="0"/>
        <w:numPr>
          <w:ilvl w:val="0"/>
          <w:numId w:val="0"/>
        </w:numPr>
        <w:kinsoku/>
        <w:wordWrap/>
        <w:overflowPunct/>
        <w:topLinePunct w:val="0"/>
        <w:autoSpaceDE w:val="0"/>
        <w:autoSpaceDN w:val="0"/>
        <w:bidi w:val="0"/>
        <w:adjustRightIn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2"/>
          <w:sz w:val="32"/>
          <w:szCs w:val="32"/>
          <w:lang w:val="en-US" w:eastAsia="zh-CN" w:bidi="ar-SA"/>
        </w:rPr>
        <w:t>我院临终关怀服务属于医疗辅助配套社会化项目，依据政策要求，需对临终关怀服务重新组织公开招标，项目服务期 3 年。</w:t>
      </w:r>
    </w:p>
    <w:p>
      <w:pPr>
        <w:pStyle w:val="6"/>
        <w:pageBreakBefore w:val="0"/>
        <w:widowControl w:val="0"/>
        <w:numPr>
          <w:ilvl w:val="0"/>
          <w:numId w:val="0"/>
        </w:numPr>
        <w:kinsoku/>
        <w:wordWrap/>
        <w:overflowPunct/>
        <w:topLinePunct w:val="0"/>
        <w:autoSpaceDE w:val="0"/>
        <w:autoSpaceDN w:val="0"/>
        <w:bidi w:val="0"/>
        <w:adjustRightInd w:val="0"/>
        <w:spacing w:line="360" w:lineRule="auto"/>
        <w:ind w:left="568"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bookmarkStart w:id="0" w:name="_Toc16446"/>
      <w:bookmarkStart w:id="1" w:name="_Toc11028"/>
      <w:bookmarkStart w:id="2" w:name="_Toc10148"/>
      <w:bookmarkStart w:id="3" w:name="_Toc31614"/>
      <w:bookmarkStart w:id="4" w:name="_Toc30324"/>
      <w:bookmarkStart w:id="5" w:name="_Toc5628"/>
      <w:bookmarkStart w:id="6" w:name="_Toc128397380"/>
      <w:bookmarkStart w:id="7" w:name="_Toc127547647"/>
      <w:bookmarkStart w:id="8" w:name="_Toc130886525"/>
      <w:bookmarkStart w:id="9" w:name="_Toc128149628"/>
      <w:bookmarkStart w:id="10" w:name="_Toc128149852"/>
      <w:bookmarkStart w:id="11" w:name="_Toc128147501"/>
      <w:bookmarkStart w:id="12" w:name="_Toc130887379"/>
      <w:bookmarkStart w:id="13" w:name="_Toc132398715"/>
      <w:bookmarkStart w:id="14" w:name="_Toc128147358"/>
      <w:r>
        <w:rPr>
          <w:rFonts w:hint="eastAsia" w:ascii="黑体" w:hAnsi="黑体" w:eastAsia="黑体" w:cs="黑体"/>
          <w:b w:val="0"/>
          <w:sz w:val="32"/>
          <w:szCs w:val="32"/>
        </w:rPr>
        <w:t>服务费用</w:t>
      </w:r>
      <w:bookmarkEnd w:id="0"/>
      <w:bookmarkEnd w:id="1"/>
      <w:bookmarkEnd w:id="2"/>
      <w:bookmarkEnd w:id="3"/>
      <w:bookmarkEnd w:id="4"/>
      <w:bookmarkEnd w:id="5"/>
      <w:r>
        <w:rPr>
          <w:rFonts w:hint="eastAsia" w:ascii="黑体" w:hAnsi="黑体" w:eastAsia="黑体" w:cs="黑体"/>
          <w:b w:val="0"/>
          <w:sz w:val="32"/>
          <w:szCs w:val="32"/>
        </w:rPr>
        <w:t>和年限</w:t>
      </w:r>
      <w:bookmarkEnd w:id="6"/>
      <w:bookmarkEnd w:id="7"/>
      <w:bookmarkEnd w:id="8"/>
      <w:bookmarkEnd w:id="9"/>
      <w:bookmarkEnd w:id="10"/>
      <w:bookmarkEnd w:id="11"/>
      <w:bookmarkEnd w:id="12"/>
      <w:bookmarkEnd w:id="13"/>
      <w:bookmarkEnd w:id="14"/>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1.临终关怀服务项目需交纳场地管理费，价格不低于3.55元/平方米*天，</w:t>
      </w:r>
      <w:r>
        <w:rPr>
          <w:rFonts w:hint="eastAsia" w:ascii="仿宋_GB2312" w:hAnsi="仿宋_GB2312" w:eastAsia="仿宋_GB2312" w:cs="仿宋_GB2312"/>
          <w:sz w:val="32"/>
          <w:szCs w:val="32"/>
          <w:lang w:val="en-US" w:eastAsia="zh-CN"/>
        </w:rPr>
        <w:t>经营过程中产生的能源消耗费自理</w:t>
      </w:r>
      <w:r>
        <w:rPr>
          <w:rFonts w:hint="eastAsia" w:ascii="仿宋_GB2312" w:hAnsi="仿宋_GB2312" w:eastAsia="仿宋_GB2312" w:cs="仿宋_GB2312"/>
          <w:sz w:val="32"/>
          <w:szCs w:val="32"/>
          <w:highlight w:val="none"/>
          <w:lang w:val="en-US" w:eastAsia="zh-CN"/>
        </w:rPr>
        <w:t>。</w:t>
      </w:r>
    </w:p>
    <w:p>
      <w:pPr>
        <w:pStyle w:val="5"/>
        <w:pageBreakBefore w:val="0"/>
        <w:widowControl w:val="0"/>
        <w:kinsoku/>
        <w:wordWrap/>
        <w:overflowPunct/>
        <w:topLinePunct w:val="0"/>
        <w:bidi w:val="0"/>
        <w:spacing w:line="360" w:lineRule="auto"/>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2.场地费按季度支付、场地面积：150 平方米。</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3.服务年限：3年，合同</w:t>
      </w:r>
      <w:r>
        <w:rPr>
          <w:rFonts w:hint="eastAsia" w:ascii="仿宋_GB2312" w:hAnsi="仿宋_GB2312" w:eastAsia="仿宋_GB2312" w:cs="仿宋_GB2312"/>
          <w:sz w:val="32"/>
          <w:szCs w:val="32"/>
          <w:highlight w:val="none"/>
          <w:lang w:val="zh-CN" w:eastAsia="zh-CN"/>
        </w:rPr>
        <w:t>一年一签，</w:t>
      </w:r>
      <w:r>
        <w:rPr>
          <w:rFonts w:hint="eastAsia" w:ascii="仿宋_GB2312" w:hAnsi="仿宋_GB2312" w:eastAsia="仿宋_GB2312" w:cs="仿宋_GB2312"/>
          <w:sz w:val="32"/>
          <w:szCs w:val="32"/>
          <w:highlight w:val="none"/>
          <w:lang w:val="en-US" w:eastAsia="zh-CN"/>
        </w:rPr>
        <w:t>每年年底对服务公司当年的服务质量作专项考评，根据上年度服务考核情况确定下年度合同的签订。</w:t>
      </w:r>
      <w:bookmarkStart w:id="15" w:name="_Toc128147351"/>
      <w:bookmarkStart w:id="16" w:name="_Toc23299"/>
      <w:bookmarkStart w:id="17" w:name="_Toc2775"/>
      <w:bookmarkStart w:id="18" w:name="_Toc128149621"/>
      <w:bookmarkStart w:id="19" w:name="_Toc11336"/>
      <w:bookmarkStart w:id="20" w:name="_Toc127547642"/>
      <w:bookmarkStart w:id="21" w:name="_Toc130886520"/>
      <w:bookmarkStart w:id="22" w:name="_Toc130887374"/>
      <w:bookmarkStart w:id="23" w:name="_Toc27166"/>
      <w:bookmarkStart w:id="24" w:name="_Toc132398710"/>
      <w:bookmarkStart w:id="25" w:name="_Toc128149845"/>
      <w:bookmarkStart w:id="26" w:name="_Toc10817"/>
      <w:bookmarkStart w:id="27" w:name="_Toc128397373"/>
      <w:bookmarkStart w:id="28" w:name="_Toc128147494"/>
    </w:p>
    <w:p>
      <w:pPr>
        <w:pStyle w:val="5"/>
        <w:pageBreakBefore w:val="0"/>
        <w:widowControl w:val="0"/>
        <w:kinsoku/>
        <w:wordWrap/>
        <w:overflowPunct/>
        <w:topLinePunct w:val="0"/>
        <w:bidi w:val="0"/>
        <w:spacing w:line="360" w:lineRule="auto"/>
        <w:ind w:firstLine="560"/>
        <w:textAlignment w:val="auto"/>
        <w:rPr>
          <w:rFonts w:hint="eastAsia" w:ascii="黑体" w:hAnsi="黑体" w:eastAsia="黑体" w:cs="黑体"/>
          <w:b w:val="0"/>
          <w:sz w:val="32"/>
          <w:szCs w:val="32"/>
        </w:rPr>
      </w:pPr>
      <w:r>
        <w:rPr>
          <w:rFonts w:hint="eastAsia" w:ascii="黑体" w:hAnsi="黑体" w:eastAsia="黑体" w:cs="黑体"/>
          <w:b w:val="0"/>
          <w:sz w:val="32"/>
          <w:szCs w:val="32"/>
          <w:lang w:val="en-US" w:eastAsia="zh-CN"/>
        </w:rPr>
        <w:t>三</w:t>
      </w:r>
      <w:r>
        <w:rPr>
          <w:rFonts w:hint="eastAsia" w:ascii="黑体" w:hAnsi="黑体" w:eastAsia="黑体" w:cs="黑体"/>
          <w:b w:val="0"/>
          <w:sz w:val="32"/>
          <w:szCs w:val="32"/>
        </w:rPr>
        <w:t>、商务要求</w:t>
      </w:r>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★（一）交付（服务）时间、地点和方式</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1.交付（服务）时间：</w:t>
      </w:r>
      <w:r>
        <w:rPr>
          <w:rFonts w:hint="eastAsia" w:ascii="仿宋_GB2312" w:hAnsi="仿宋_GB2312" w:eastAsia="仿宋_GB2312" w:cs="仿宋_GB2312"/>
          <w:sz w:val="32"/>
          <w:szCs w:val="32"/>
          <w:highlight w:val="none"/>
          <w:u w:val="single"/>
          <w:lang w:val="en-US" w:eastAsia="zh-CN"/>
        </w:rPr>
        <w:t xml:space="preserve">项目中标通知书发出后，20个工作日内签订合同，入场前须提供驻场工作人员的相关信息（包括但不限于人员姓名、年龄、聘用合同、无法罪记录证明、入职体检报告等），派驻人员必须与投标承诺的人员情况相一致，并接受甲方核验，核验完成后10个工作日内进场交付服务 </w:t>
      </w:r>
      <w:r>
        <w:rPr>
          <w:rFonts w:hint="eastAsia" w:ascii="仿宋_GB2312" w:hAnsi="仿宋_GB2312" w:eastAsia="仿宋_GB2312" w:cs="仿宋_GB2312"/>
          <w:sz w:val="32"/>
          <w:szCs w:val="32"/>
        </w:rPr>
        <w:t>。</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2.交付（服务）地点：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上海市</w:t>
      </w:r>
      <w:bookmarkStart w:id="38" w:name="_GoBack"/>
      <w:bookmark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rPr>
        <w:t>3.交付（服务）方式：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临终关怀服务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知识产权和保密要求</w:t>
      </w:r>
    </w:p>
    <w:p>
      <w:pPr>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1.中标单位必须承诺所有人员对在本合同履行过程中获取的院方商业信息、商业秘密承担保密责任。如中标单位人员未履行上述义务，中标单位必须承担由此造成的责任。</w:t>
      </w:r>
    </w:p>
    <w:p>
      <w:pPr>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2.中标单位必须承诺遵守保密约定，不向任何第三方泄露，否则需赔偿因此导致院方产生的全部损失。</w:t>
      </w:r>
    </w:p>
    <w:p>
      <w:pPr>
        <w:pStyle w:val="5"/>
        <w:pageBreakBefore w:val="0"/>
        <w:widowControl w:val="0"/>
        <w:kinsoku/>
        <w:wordWrap/>
        <w:overflowPunct/>
        <w:topLinePunct w:val="0"/>
        <w:bidi w:val="0"/>
        <w:spacing w:line="360" w:lineRule="auto"/>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3.保密条款在本项目履行期间及合同到期或终止后仍然有效。</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zh-CN"/>
        </w:rPr>
        <w:t>）付款及结算方式</w:t>
      </w:r>
    </w:p>
    <w:p>
      <w:pPr>
        <w:pStyle w:val="5"/>
        <w:pageBreakBefore w:val="0"/>
        <w:widowControl w:val="0"/>
        <w:kinsoku/>
        <w:wordWrap/>
        <w:overflowPunct/>
        <w:topLinePunct w:val="0"/>
        <w:bidi w:val="0"/>
        <w:spacing w:line="360" w:lineRule="auto"/>
        <w:ind w:left="0" w:firstLine="640" w:firstLineChars="200"/>
        <w:textAlignment w:val="auto"/>
        <w:rPr>
          <w:rFonts w:hint="eastAsia" w:ascii="仿宋_GB2312" w:hAnsi="仿宋_GB2312" w:eastAsia="仿宋_GB2312" w:cs="仿宋_GB2312"/>
          <w:i/>
          <w:sz w:val="32"/>
          <w:szCs w:val="32"/>
          <w:u w:val="none"/>
        </w:rPr>
      </w:pPr>
      <w:r>
        <w:rPr>
          <w:rFonts w:hint="eastAsia" w:ascii="仿宋_GB2312" w:hAnsi="仿宋_GB2312" w:eastAsia="仿宋_GB2312" w:cs="仿宋_GB2312"/>
          <w:bCs/>
          <w:sz w:val="32"/>
          <w:szCs w:val="32"/>
          <w:u w:val="none"/>
        </w:rPr>
        <w:t xml:space="preserve"> </w:t>
      </w:r>
      <w:r>
        <w:rPr>
          <w:rFonts w:hint="eastAsia" w:ascii="仿宋_GB2312" w:hAnsi="仿宋_GB2312" w:eastAsia="仿宋_GB2312" w:cs="仿宋_GB2312"/>
          <w:sz w:val="32"/>
          <w:szCs w:val="32"/>
          <w:u w:val="none"/>
          <w:lang w:val="en-US" w:eastAsia="zh-CN"/>
        </w:rPr>
        <w:t>临终关怀服务项目场地管理费采取</w:t>
      </w:r>
      <w:r>
        <w:rPr>
          <w:rFonts w:hint="eastAsia" w:ascii="仿宋_GB2312" w:hAnsi="仿宋_GB2312" w:eastAsia="仿宋_GB2312" w:cs="仿宋_GB2312"/>
          <w:sz w:val="32"/>
          <w:szCs w:val="32"/>
          <w:u w:val="single"/>
          <w:lang w:val="en-US" w:eastAsia="zh-CN"/>
        </w:rPr>
        <w:t xml:space="preserve"> 季度 </w:t>
      </w:r>
      <w:r>
        <w:rPr>
          <w:rFonts w:hint="eastAsia" w:ascii="仿宋_GB2312" w:hAnsi="仿宋_GB2312" w:eastAsia="仿宋_GB2312" w:cs="仿宋_GB2312"/>
          <w:sz w:val="32"/>
          <w:szCs w:val="32"/>
          <w:u w:val="none"/>
          <w:lang w:val="en-US" w:eastAsia="zh-CN"/>
        </w:rPr>
        <w:t>交纳方式，合同签订以后</w:t>
      </w:r>
      <w:r>
        <w:rPr>
          <w:rFonts w:hint="eastAsia" w:ascii="仿宋_GB2312" w:hAnsi="仿宋_GB2312" w:eastAsia="仿宋_GB2312" w:cs="仿宋_GB2312"/>
          <w:sz w:val="32"/>
          <w:szCs w:val="32"/>
          <w:u w:val="single"/>
          <w:lang w:val="en-US" w:eastAsia="zh-CN"/>
        </w:rPr>
        <w:t xml:space="preserve"> 10个工作日内 </w:t>
      </w:r>
      <w:r>
        <w:rPr>
          <w:rFonts w:hint="eastAsia" w:ascii="仿宋_GB2312" w:hAnsi="仿宋_GB2312" w:eastAsia="仿宋_GB2312" w:cs="仿宋_GB2312"/>
          <w:bCs/>
          <w:sz w:val="32"/>
          <w:szCs w:val="32"/>
          <w:u w:val="none"/>
          <w:lang w:val="en-US" w:eastAsia="zh-CN"/>
        </w:rPr>
        <w:t>以</w:t>
      </w:r>
      <w:r>
        <w:rPr>
          <w:rFonts w:hint="eastAsia" w:ascii="仿宋_GB2312" w:hAnsi="仿宋_GB2312" w:eastAsia="仿宋_GB2312" w:cs="仿宋_GB2312"/>
          <w:sz w:val="32"/>
          <w:szCs w:val="32"/>
          <w:u w:val="none"/>
          <w:lang w:val="en-US" w:eastAsia="zh-CN"/>
        </w:rPr>
        <w:t>银行转账形式</w:t>
      </w:r>
      <w:r>
        <w:rPr>
          <w:rFonts w:hint="eastAsia" w:ascii="仿宋_GB2312" w:hAnsi="仿宋_GB2312" w:eastAsia="仿宋_GB2312" w:cs="仿宋_GB2312"/>
          <w:sz w:val="32"/>
          <w:szCs w:val="32"/>
          <w:highlight w:val="none"/>
          <w:u w:val="none"/>
          <w:lang w:val="zh-CN"/>
        </w:rPr>
        <w:t>向</w:t>
      </w:r>
      <w:r>
        <w:rPr>
          <w:rFonts w:hint="eastAsia" w:ascii="仿宋_GB2312" w:hAnsi="仿宋_GB2312" w:eastAsia="仿宋_GB2312" w:cs="仿宋_GB2312"/>
          <w:sz w:val="32"/>
          <w:szCs w:val="32"/>
          <w:highlight w:val="none"/>
          <w:u w:val="none"/>
          <w:lang w:val="en-US" w:eastAsia="zh-CN"/>
        </w:rPr>
        <w:t>招标单位</w:t>
      </w:r>
      <w:r>
        <w:rPr>
          <w:rFonts w:hint="eastAsia" w:ascii="仿宋_GB2312" w:hAnsi="仿宋_GB2312" w:eastAsia="仿宋_GB2312" w:cs="仿宋_GB2312"/>
          <w:sz w:val="32"/>
          <w:szCs w:val="32"/>
          <w:highlight w:val="none"/>
          <w:u w:val="none"/>
          <w:lang w:val="zh-CN"/>
        </w:rPr>
        <w:t>支付</w:t>
      </w:r>
      <w:r>
        <w:rPr>
          <w:rFonts w:hint="eastAsia" w:ascii="仿宋_GB2312" w:hAnsi="仿宋_GB2312" w:eastAsia="仿宋_GB2312" w:cs="仿宋_GB2312"/>
          <w:sz w:val="32"/>
          <w:szCs w:val="32"/>
          <w:u w:val="none"/>
          <w:lang w:val="en-US" w:eastAsia="zh-CN"/>
        </w:rPr>
        <w:t>下一个季度场地管理费</w:t>
      </w:r>
      <w:r>
        <w:rPr>
          <w:rFonts w:hint="eastAsia" w:ascii="仿宋_GB2312" w:hAnsi="仿宋_GB2312" w:eastAsia="仿宋_GB2312" w:cs="仿宋_GB2312"/>
          <w:sz w:val="32"/>
          <w:szCs w:val="32"/>
          <w:u w:val="none"/>
          <w:lang w:val="zh-CN"/>
        </w:rPr>
        <w:t>。</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val="zh-CN"/>
        </w:rPr>
        <w:t>）履约保证金</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本次</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收取</w:t>
      </w:r>
      <w:r>
        <w:rPr>
          <w:rFonts w:hint="eastAsia" w:ascii="仿宋_GB2312" w:hAnsi="仿宋_GB2312" w:eastAsia="仿宋_GB2312" w:cs="仿宋_GB2312"/>
          <w:sz w:val="32"/>
          <w:szCs w:val="32"/>
          <w:highlight w:val="none"/>
          <w:lang w:val="en-US" w:eastAsia="zh-CN"/>
        </w:rPr>
        <w:t>投标价场地管理费一年总</w:t>
      </w:r>
      <w:r>
        <w:rPr>
          <w:rFonts w:hint="eastAsia" w:ascii="仿宋_GB2312" w:hAnsi="仿宋_GB2312" w:eastAsia="仿宋_GB2312" w:cs="仿宋_GB2312"/>
          <w:sz w:val="32"/>
          <w:szCs w:val="32"/>
          <w:highlight w:val="none"/>
        </w:rPr>
        <w:t>金额的</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10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%作为合同履约保证金。</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2.中标单位</w:t>
      </w:r>
      <w:r>
        <w:rPr>
          <w:rFonts w:hint="eastAsia" w:ascii="仿宋_GB2312" w:hAnsi="仿宋_GB2312" w:eastAsia="仿宋_GB2312" w:cs="仿宋_GB2312"/>
          <w:sz w:val="32"/>
          <w:szCs w:val="32"/>
          <w:highlight w:val="none"/>
          <w:lang w:val="zh-CN" w:eastAsia="zh-CN"/>
        </w:rPr>
        <w:t>在合同服务期内如出现下列情况，将实施扣罚，罚金可由公司直接递交或从履约保证金中扣除：</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①</w:t>
      </w:r>
      <w:r>
        <w:rPr>
          <w:rFonts w:hint="eastAsia" w:ascii="仿宋_GB2312" w:hAnsi="仿宋_GB2312" w:eastAsia="仿宋_GB2312" w:cs="仿宋_GB2312"/>
          <w:sz w:val="32"/>
          <w:szCs w:val="32"/>
          <w:highlight w:val="none"/>
          <w:lang w:val="en-US" w:eastAsia="zh-CN"/>
        </w:rPr>
        <w:t>中标单位</w:t>
      </w:r>
      <w:r>
        <w:rPr>
          <w:rFonts w:hint="eastAsia" w:ascii="仿宋_GB2312" w:hAnsi="仿宋_GB2312" w:eastAsia="仿宋_GB2312" w:cs="仿宋_GB2312"/>
          <w:sz w:val="32"/>
          <w:szCs w:val="32"/>
          <w:highlight w:val="none"/>
          <w:lang w:val="zh-CN" w:eastAsia="zh-CN"/>
        </w:rPr>
        <w:t>由于过失造成的人员、设备、设施、机房等的任何损失(人身损害或财产损失），须据实赔偿；</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②由于</w:t>
      </w:r>
      <w:r>
        <w:rPr>
          <w:rFonts w:hint="eastAsia" w:ascii="仿宋_GB2312" w:hAnsi="仿宋_GB2312" w:eastAsia="仿宋_GB2312" w:cs="仿宋_GB2312"/>
          <w:sz w:val="32"/>
          <w:szCs w:val="32"/>
          <w:highlight w:val="none"/>
          <w:lang w:val="en-US" w:eastAsia="zh-CN"/>
        </w:rPr>
        <w:t>中标单位</w:t>
      </w:r>
      <w:r>
        <w:rPr>
          <w:rFonts w:hint="eastAsia" w:ascii="仿宋_GB2312" w:hAnsi="仿宋_GB2312" w:eastAsia="仿宋_GB2312" w:cs="仿宋_GB2312"/>
          <w:sz w:val="32"/>
          <w:szCs w:val="32"/>
          <w:highlight w:val="none"/>
          <w:lang w:val="zh-CN" w:eastAsia="zh-CN"/>
        </w:rPr>
        <w:t>原因而导致医院发生安全事故(火灾，人身伤害，妨碍医院正常秩序，国有资产损失，违反国家法律法规等)，</w:t>
      </w:r>
      <w:r>
        <w:rPr>
          <w:rFonts w:hint="eastAsia" w:ascii="仿宋_GB2312" w:hAnsi="仿宋_GB2312" w:eastAsia="仿宋_GB2312" w:cs="仿宋_GB2312"/>
          <w:sz w:val="32"/>
          <w:szCs w:val="32"/>
          <w:highlight w:val="none"/>
          <w:lang w:val="en-US" w:eastAsia="zh-CN"/>
        </w:rPr>
        <w:t>中标单位</w:t>
      </w:r>
      <w:r>
        <w:rPr>
          <w:rFonts w:hint="eastAsia" w:ascii="仿宋_GB2312" w:hAnsi="仿宋_GB2312" w:eastAsia="仿宋_GB2312" w:cs="仿宋_GB2312"/>
          <w:sz w:val="32"/>
          <w:szCs w:val="32"/>
          <w:highlight w:val="none"/>
          <w:lang w:val="zh-CN" w:eastAsia="zh-CN"/>
        </w:rPr>
        <w:t>须承担全部责任，并赔偿损失，另将受到院方扣罚：视情节轻重扣罚0.1万-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0万元，甲方可在履约保证金中扣罚，</w:t>
      </w:r>
      <w:r>
        <w:rPr>
          <w:rFonts w:hint="eastAsia" w:ascii="仿宋_GB2312" w:hAnsi="仿宋_GB2312" w:eastAsia="仿宋_GB2312" w:cs="仿宋_GB2312"/>
          <w:sz w:val="32"/>
          <w:szCs w:val="32"/>
          <w:highlight w:val="none"/>
          <w:lang w:val="en-US" w:eastAsia="zh-CN"/>
        </w:rPr>
        <w:t>中标单位</w:t>
      </w:r>
      <w:r>
        <w:rPr>
          <w:rFonts w:hint="eastAsia" w:ascii="仿宋_GB2312" w:hAnsi="仿宋_GB2312" w:eastAsia="仿宋_GB2312" w:cs="仿宋_GB2312"/>
          <w:sz w:val="32"/>
          <w:szCs w:val="32"/>
          <w:highlight w:val="none"/>
          <w:lang w:val="zh-CN" w:eastAsia="zh-CN"/>
        </w:rPr>
        <w:t>需在7日内将履约保证金补足。情节严重，甲方有权解除合同，并禁止3年内参与甲方同类型项目投标；</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③由于</w:t>
      </w:r>
      <w:r>
        <w:rPr>
          <w:rFonts w:hint="eastAsia" w:ascii="仿宋_GB2312" w:hAnsi="仿宋_GB2312" w:eastAsia="仿宋_GB2312" w:cs="仿宋_GB2312"/>
          <w:sz w:val="32"/>
          <w:szCs w:val="32"/>
          <w:highlight w:val="none"/>
          <w:lang w:val="en-US" w:eastAsia="zh-CN"/>
        </w:rPr>
        <w:t>中标单位</w:t>
      </w:r>
      <w:r>
        <w:rPr>
          <w:rFonts w:hint="eastAsia" w:ascii="仿宋_GB2312" w:hAnsi="仿宋_GB2312" w:eastAsia="仿宋_GB2312" w:cs="仿宋_GB2312"/>
          <w:sz w:val="32"/>
          <w:szCs w:val="32"/>
          <w:highlight w:val="none"/>
          <w:lang w:val="zh-CN" w:eastAsia="zh-CN"/>
        </w:rPr>
        <w:t>原因导致甲方被投诉(经调查核实的人民来信、来访、来电等）被媒体曝光，</w:t>
      </w:r>
      <w:r>
        <w:rPr>
          <w:rFonts w:hint="eastAsia" w:ascii="仿宋_GB2312" w:hAnsi="仿宋_GB2312" w:eastAsia="仿宋_GB2312" w:cs="仿宋_GB2312"/>
          <w:sz w:val="32"/>
          <w:szCs w:val="32"/>
          <w:highlight w:val="none"/>
          <w:lang w:val="en-US" w:eastAsia="zh-CN"/>
        </w:rPr>
        <w:t>中标单位</w:t>
      </w:r>
      <w:r>
        <w:rPr>
          <w:rFonts w:hint="eastAsia" w:ascii="仿宋_GB2312" w:hAnsi="仿宋_GB2312" w:eastAsia="仿宋_GB2312" w:cs="仿宋_GB2312"/>
          <w:sz w:val="32"/>
          <w:szCs w:val="32"/>
          <w:highlight w:val="none"/>
          <w:lang w:val="zh-CN" w:eastAsia="zh-CN"/>
        </w:rPr>
        <w:t>须承担全部责任，除赔偿由此造成的损失外，甲方视情况扣罚1万-10万元，甲方可在履约保证金中扣罚，</w:t>
      </w:r>
      <w:r>
        <w:rPr>
          <w:rFonts w:hint="eastAsia" w:ascii="仿宋_GB2312" w:hAnsi="仿宋_GB2312" w:eastAsia="仿宋_GB2312" w:cs="仿宋_GB2312"/>
          <w:sz w:val="32"/>
          <w:szCs w:val="32"/>
          <w:highlight w:val="none"/>
          <w:lang w:val="en-US" w:eastAsia="zh-CN"/>
        </w:rPr>
        <w:t>中标单位</w:t>
      </w:r>
      <w:r>
        <w:rPr>
          <w:rFonts w:hint="eastAsia" w:ascii="仿宋_GB2312" w:hAnsi="仿宋_GB2312" w:eastAsia="仿宋_GB2312" w:cs="仿宋_GB2312"/>
          <w:sz w:val="32"/>
          <w:szCs w:val="32"/>
          <w:highlight w:val="none"/>
          <w:lang w:val="zh-CN" w:eastAsia="zh-CN"/>
        </w:rPr>
        <w:t>需在7日内将履约保证金补足；</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④合同期满后，经甲乙双方共同确认(根据服务期内由无纠纷或处罚等情况)，招标人以无息方式退还全部或部分履约保证金。</w:t>
      </w:r>
    </w:p>
    <w:p>
      <w:pPr>
        <w:pStyle w:val="2"/>
        <w:pageBreakBefore w:val="0"/>
        <w:widowControl w:val="0"/>
        <w:kinsoku/>
        <w:wordWrap/>
        <w:overflowPunct/>
        <w:topLinePunct w:val="0"/>
        <w:bidi w:val="0"/>
        <w:spacing w:before="0" w:after="0" w:line="360" w:lineRule="auto"/>
        <w:ind w:firstLine="560"/>
        <w:textAlignment w:val="auto"/>
        <w:rPr>
          <w:rFonts w:hint="eastAsia" w:ascii="黑体" w:hAnsi="黑体" w:eastAsia="黑体" w:cs="黑体"/>
          <w:b/>
          <w:bCs w:val="0"/>
          <w:sz w:val="32"/>
          <w:szCs w:val="32"/>
          <w:lang w:val="en-US" w:eastAsia="zh-CN"/>
        </w:rPr>
      </w:pPr>
      <w:bookmarkStart w:id="29" w:name="_Toc128149622"/>
      <w:bookmarkStart w:id="30" w:name="_Toc128149846"/>
      <w:bookmarkStart w:id="31" w:name="_Toc130887375"/>
      <w:bookmarkStart w:id="32" w:name="_Toc132398711"/>
      <w:bookmarkStart w:id="33" w:name="_Toc128147495"/>
      <w:bookmarkStart w:id="34" w:name="_Toc128397374"/>
      <w:bookmarkStart w:id="35" w:name="_Toc128147352"/>
      <w:bookmarkStart w:id="36" w:name="_Toc130886521"/>
      <w:bookmarkStart w:id="37" w:name="_Toc127547643"/>
      <w:r>
        <w:rPr>
          <w:rFonts w:hint="eastAsia" w:ascii="黑体" w:hAnsi="黑体" w:eastAsia="黑体" w:cs="黑体"/>
          <w:b/>
          <w:bCs w:val="0"/>
          <w:sz w:val="32"/>
          <w:szCs w:val="32"/>
          <w:lang w:val="en-US" w:eastAsia="zh-CN"/>
        </w:rPr>
        <w:t>四</w:t>
      </w:r>
      <w:r>
        <w:rPr>
          <w:rFonts w:hint="eastAsia" w:ascii="黑体" w:hAnsi="黑体" w:eastAsia="黑体" w:cs="黑体"/>
          <w:b/>
          <w:bCs w:val="0"/>
          <w:sz w:val="32"/>
          <w:szCs w:val="32"/>
        </w:rPr>
        <w:t>、技术要求</w:t>
      </w:r>
      <w:bookmarkEnd w:id="29"/>
      <w:bookmarkEnd w:id="30"/>
      <w:bookmarkEnd w:id="31"/>
      <w:bookmarkEnd w:id="32"/>
      <w:bookmarkEnd w:id="33"/>
      <w:bookmarkEnd w:id="34"/>
      <w:bookmarkEnd w:id="35"/>
      <w:bookmarkEnd w:id="36"/>
      <w:bookmarkEnd w:id="37"/>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（一）工作内容</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太平间工作人员接到病房通知患者逝去消息后，第一时间到现场协助医护人员接送遗体，安慰逝者家属，避免家属在病房哭闹影响其他病人</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太平间工作人员与逝者家属核对逝者姓名、年龄、性别、病区、床号，并做好遗体整理、包裹、接受遗体时核对遗体随身物品进行登记、防止差错</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认真做好遗体交接工作，建立严格的核对制度，与家属核对遗体肢、指、耳、鼻是否缺损和腐烂情况</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太平间储存遗体应凭识别卡（三张）两张放在遗体上，一张由太平间工作人员保存，遗体入箱前应仔细核对三卡信息，发现异常情况应与有关部门联系更正后才能入箱</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必须做好遗体存放、防盗、防抢工作，遗体完好率必须到达100%</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配合殡仪馆工作人员做好遗体交接工作、协助殡仪馆核对识别卡，并做好记录，遗体出院填写“接尸签收单”，由接尸单位签字，注明接尸车号。做好遗体放出记录，箱号和遗体卡号一致，无差错遗漏</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遗体进出必须做好登记并办理相关手续，特别是少数民族遗体，无名遗体，手术残肢等、死胎等必须严格按照国家相关法律、法规办理、严禁私自处理</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每天早、中、晚检查冷藏设备，做好登记工作，发现问题及时报修，保证在预定限期内遗体不变质、变形（不包括久放或无名氏）</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做好工作区域内的卫生清扫及消毒工作，遗体接走后及时清洗铺位。有相应停放遗体设施，定期消毒液喷雾消毒</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接入太平间的遗体要符合卫生要求，不应有污物污染，凡接下来的遗体，送往太平间时也应要保证面容端正、清洁、外形应与接体时基本相同，不得有开放口和外溢体腔内容物</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对传染病死者的遗体，进太平间前消毒处理，然后放单独的隔离间，遗体运出后作终末消毒</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太平间工作人员应做好个人卫生，防止自身感染，同时不得借工作之便谋取私利</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太平间设施应实用、便于清洗、隔离和消毒，保持门窗、通风口的防鼠、防疫、防腐设备的良好运行</w:t>
      </w:r>
      <w:r>
        <w:rPr>
          <w:rFonts w:hint="eastAsia" w:ascii="仿宋_GB2312" w:hAnsi="仿宋_GB2312" w:eastAsia="仿宋_GB2312" w:cs="仿宋_GB2312"/>
          <w:sz w:val="32"/>
          <w:szCs w:val="32"/>
          <w:lang w:eastAsia="zh-CN"/>
        </w:rPr>
        <w:t>；</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（二）人员要求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1.太平间 24 小时工作人员不得少于 4 人。须为 25-50 周岁；</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2.持有相关岗位执业证书；</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3.无犯罪记录（提供无犯罪记录证明）；</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4.所有服务人员须身体健康、适合医院环境工作（提供健康证）；</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5.人员必须相对固定，避免经常更换（更换人员需经院方同意）；</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6.可以根据需要弹性排班；</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7.具有对医院突发事件进行应急响应能力；</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8.投标单位有岗前培训机构，服务人员100%经过岗前或在岗培训合格后上岗；</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zh-CN" w:eastAsia="zh-CN"/>
        </w:rPr>
        <w:t>）保险要求</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yellow"/>
          <w:lang w:val="zh-CN" w:eastAsia="zh-CN"/>
        </w:rPr>
      </w:pPr>
      <w:r>
        <w:rPr>
          <w:rFonts w:hint="eastAsia" w:ascii="仿宋_GB2312" w:hAnsi="仿宋_GB2312" w:eastAsia="仿宋_GB2312" w:cs="仿宋_GB2312"/>
          <w:sz w:val="32"/>
          <w:szCs w:val="32"/>
          <w:highlight w:val="none"/>
          <w:lang w:val="en-US" w:eastAsia="zh-CN"/>
        </w:rPr>
        <w:t>1.投标单位须</w:t>
      </w:r>
      <w:r>
        <w:rPr>
          <w:rFonts w:hint="eastAsia" w:ascii="仿宋_GB2312" w:hAnsi="仿宋_GB2312" w:eastAsia="仿宋_GB2312" w:cs="仿宋_GB2312"/>
          <w:sz w:val="32"/>
          <w:szCs w:val="32"/>
          <w:highlight w:val="none"/>
          <w:lang w:val="zh-CN" w:eastAsia="zh-CN"/>
        </w:rPr>
        <w:t>承诺为员工缴纳上海市社会保险（五险一金），投标人报价时应将各类险种（包括但不限于养老、医疗、失业、工伤、生育以及超龄人员的雇主责任险、意外伤害险等）的费用考虑到投标报价内。中标后如不缴纳，一切责任均由中标单位承担，且招标方有权根据实际情况对其扣罚</w:t>
      </w:r>
      <w:r>
        <w:rPr>
          <w:rFonts w:hint="eastAsia" w:ascii="仿宋_GB2312" w:hAnsi="仿宋_GB2312" w:eastAsia="仿宋_GB2312" w:cs="仿宋_GB2312"/>
          <w:sz w:val="32"/>
          <w:szCs w:val="32"/>
          <w:highlight w:val="none"/>
          <w:lang w:val="en-US" w:eastAsia="zh-CN"/>
        </w:rPr>
        <w:t>履约保证金</w:t>
      </w:r>
      <w:r>
        <w:rPr>
          <w:rFonts w:hint="eastAsia" w:ascii="仿宋_GB2312" w:hAnsi="仿宋_GB2312" w:eastAsia="仿宋_GB2312" w:cs="仿宋_GB2312"/>
          <w:sz w:val="32"/>
          <w:szCs w:val="32"/>
          <w:highlight w:val="none"/>
          <w:lang w:val="zh-CN" w:eastAsia="zh-CN"/>
        </w:rPr>
        <w:t>；</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2.投标单位须</w:t>
      </w:r>
      <w:r>
        <w:rPr>
          <w:rFonts w:hint="eastAsia" w:ascii="仿宋_GB2312" w:hAnsi="仿宋_GB2312" w:eastAsia="仿宋_GB2312" w:cs="仿宋_GB2312"/>
          <w:sz w:val="32"/>
          <w:szCs w:val="32"/>
          <w:highlight w:val="none"/>
          <w:lang w:val="zh-CN" w:eastAsia="zh-CN"/>
        </w:rPr>
        <w:t>承诺</w:t>
      </w:r>
      <w:r>
        <w:rPr>
          <w:rFonts w:hint="eastAsia" w:ascii="仿宋_GB2312" w:hAnsi="仿宋_GB2312" w:eastAsia="仿宋_GB2312" w:cs="仿宋_GB2312"/>
          <w:sz w:val="32"/>
          <w:szCs w:val="32"/>
          <w:highlight w:val="none"/>
          <w:lang w:val="en-US" w:eastAsia="zh-CN"/>
        </w:rPr>
        <w:t>可以</w:t>
      </w:r>
      <w:r>
        <w:rPr>
          <w:rFonts w:hint="eastAsia" w:ascii="仿宋_GB2312" w:hAnsi="仿宋_GB2312" w:eastAsia="仿宋_GB2312" w:cs="仿宋_GB2312"/>
          <w:sz w:val="32"/>
          <w:szCs w:val="32"/>
          <w:highlight w:val="none"/>
          <w:lang w:val="zh-CN" w:eastAsia="zh-CN"/>
        </w:rPr>
        <w:t>接收</w:t>
      </w:r>
      <w:r>
        <w:rPr>
          <w:rFonts w:hint="eastAsia" w:ascii="仿宋_GB2312" w:hAnsi="仿宋_GB2312" w:eastAsia="仿宋_GB2312" w:cs="仿宋_GB2312"/>
          <w:sz w:val="32"/>
          <w:szCs w:val="32"/>
          <w:highlight w:val="none"/>
          <w:lang w:val="en-US" w:eastAsia="zh-CN"/>
        </w:rPr>
        <w:t>现太平间工作岗位符合法定劳动年龄</w:t>
      </w:r>
      <w:r>
        <w:rPr>
          <w:rFonts w:hint="eastAsia" w:ascii="仿宋_GB2312" w:hAnsi="仿宋_GB2312" w:eastAsia="仿宋_GB2312" w:cs="仿宋_GB2312"/>
          <w:sz w:val="32"/>
          <w:szCs w:val="32"/>
          <w:highlight w:val="none"/>
          <w:lang w:val="zh-CN" w:eastAsia="zh-CN"/>
        </w:rPr>
        <w:t>工作人员（</w:t>
      </w:r>
      <w:r>
        <w:rPr>
          <w:rFonts w:hint="eastAsia" w:ascii="仿宋_GB2312" w:hAnsi="仿宋_GB2312" w:eastAsia="仿宋_GB2312" w:cs="仿宋_GB2312"/>
          <w:sz w:val="32"/>
          <w:szCs w:val="32"/>
          <w:highlight w:val="none"/>
          <w:lang w:val="en-US" w:eastAsia="zh-CN"/>
        </w:rPr>
        <w:t>且接收人数不超过服务总人数的20%</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并保证薪酬不低于现有水平，并为其缴纳上海市社会保险。</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（四）服务要求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派专人到医院太平间，</w:t>
      </w:r>
      <w:r>
        <w:rPr>
          <w:rFonts w:hint="eastAsia" w:ascii="仿宋_GB2312" w:hAnsi="仿宋_GB2312" w:eastAsia="仿宋_GB2312" w:cs="仿宋_GB2312"/>
          <w:sz w:val="32"/>
          <w:szCs w:val="32"/>
          <w:lang w:val="en-US" w:eastAsia="zh-CN"/>
        </w:rPr>
        <w:t>每天</w:t>
      </w:r>
      <w:r>
        <w:rPr>
          <w:rFonts w:hint="eastAsia" w:ascii="仿宋_GB2312" w:hAnsi="仿宋_GB2312" w:eastAsia="仿宋_GB2312" w:cs="仿宋_GB2312"/>
          <w:sz w:val="32"/>
          <w:szCs w:val="32"/>
        </w:rPr>
        <w:t>不少于4人。人员配置需符合现行国家劳动法等相关条例规定。配合医院相关部门做好死亡病人的交接、登记和转运等工作，协助医院做好无名尸死亡病人的善后工作；</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太平间必须严格按照上海市卫健委规定的收费标准收费，太平间的服务项目和收费标准挂牌公布，接受监督，服务期3年。</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每次转运完死亡病人后，要负责清洗、消毒太平间的室内外卫生，保证能及时为下次服务做好准备；</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太平间实行24小时服务管理，并负责遗体验收、登记和办理交接手续；</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必须严格遵守医院的各项规章制度，服从医院的管理和监督。</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做好固定设施的三级保养工作并予以记录，每季度呈报甲方归档；</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上岗人员必须统一着装，并在胸口佩戴胸卡或工号，以便接受患者家属和医院各级领导监督；</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应在服务地点（太平间）醒目处张贴投诉电话，并随时接受上级领导部门的监督和指导；</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杜绝遗体发生变质或其他损坏等状况发生。如发生上述情况，应以最快的速度和家属达成一致意见，处理该事宜，不得影响医院正常工作状态</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投标人承诺针对现役军人及其法定直系亲属免除其在太平间产生的全部服务费用</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应标单位具有过往服务医院类似项目业绩（附医院项目合同）。</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（五）管理要求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严格遵守《上海市殡葬管理条例》及院方的规章制度，做好太平间的保洁和消毒工作，不准占用门外大厅，通道等公共区域操办丧事活动。严谨在太平间焚烧纸钱。发生责任性事故者，成交单位限期整改；</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2.中标</w:t>
      </w:r>
      <w:r>
        <w:rPr>
          <w:rFonts w:hint="eastAsia" w:ascii="仿宋_GB2312" w:hAnsi="仿宋_GB2312" w:eastAsia="仿宋_GB2312" w:cs="仿宋_GB2312"/>
          <w:sz w:val="32"/>
          <w:szCs w:val="32"/>
        </w:rPr>
        <w:t>单位管理期间不能出现乱收费、强制收费等现象，医院收到死者亲属有关服务质量、收费事项及违规行为等投诉的，成交单位承担全部责任，医院不定期对服务单位进行考核，考核不合格的，立即终止合同；每季度医院与成交单位约谈一次，做好相应登记</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遗体存放时间执行民政局的相关规定，特殊情况要及时向医疗部门汇报；</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4.中标</w:t>
      </w:r>
      <w:r>
        <w:rPr>
          <w:rFonts w:hint="eastAsia" w:ascii="仿宋_GB2312" w:hAnsi="仿宋_GB2312" w:eastAsia="仿宋_GB2312" w:cs="仿宋_GB2312"/>
          <w:sz w:val="32"/>
          <w:szCs w:val="32"/>
        </w:rPr>
        <w:t>单位有责任协助医院解决与遗体有关的医疗纠纷；</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医院管理人员定期或不定期对太平间卫生工作进行检查；</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6.中标</w:t>
      </w:r>
      <w:r>
        <w:rPr>
          <w:rFonts w:hint="eastAsia" w:ascii="仿宋_GB2312" w:hAnsi="仿宋_GB2312" w:eastAsia="仿宋_GB2312" w:cs="仿宋_GB2312"/>
          <w:sz w:val="32"/>
          <w:szCs w:val="32"/>
        </w:rPr>
        <w:t>单位不得擅自改变医院现有太平间房屋及管线结构，负责保护好太平间的设施，损害设施按照原价赔偿；</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7.中标</w:t>
      </w:r>
      <w:r>
        <w:rPr>
          <w:rFonts w:hint="eastAsia" w:ascii="仿宋_GB2312" w:hAnsi="仿宋_GB2312" w:eastAsia="仿宋_GB2312" w:cs="仿宋_GB2312"/>
          <w:sz w:val="32"/>
          <w:szCs w:val="32"/>
        </w:rPr>
        <w:t>单位自行承担太平间日常管理中所需要设施设备，包含但不限于18台固定冰柜、6台移动冰柜、桌椅、电脑、员工住宿床铺等硬件设施设备；合同届满后成交单位所投放设施设备不计算残值自行处理；若中途退出，所投放设施设备同样不计算残值，由原单位自行处理；</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单位在合同届满或提前终止合同10个工作日内必须立即撤离并清空场地，逾期未搬离的财产，视成交单位放弃所有权，由我院享有并有权自行处理；</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中标单位可对太平间场地进行二次装修改造，装修改造方案必须经医院管理部门同意后进行，相关费用由中标单位自行承担</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中标单位自行购置所需要设施设备，日常管理过程中由中标单位自行承担所有设施设备的维护、保养费用；如因各种原因不再经营，装修及不可搬迁设施不得向医院追偿；</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10.中标</w:t>
      </w:r>
      <w:r>
        <w:rPr>
          <w:rFonts w:hint="eastAsia" w:ascii="仿宋_GB2312" w:hAnsi="仿宋_GB2312" w:eastAsia="仿宋_GB2312" w:cs="仿宋_GB2312"/>
          <w:sz w:val="32"/>
          <w:szCs w:val="32"/>
        </w:rPr>
        <w:t>单位不得对外泄露死者信息；</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未经医院同意参与不得擅自将所承包的场地或项目转包给其他个人或公司。</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（六）突发事件处理</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若冷藏设备出现故障，应及时将遗体或医疗废弃物转存至其他制冷正常的冷藏设备中，并及时通知维修部门对故障设备进行维修</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若出现冷藏设备数量不足时，应做好丧属工作，在征的丧属同意后将遗体转至殡仪馆冷藏，若丧属不同意，需立即联系公司总部调运备用冷藏设备进行应急</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如发生遗体被盗时，先保护现场，立即上报保安部门和行政总值班</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如发生火灾或水灾时，先组织人员将遗体转移至安全区域，然后跟丧属做好沟通工作，将遗体转至殡仪馆冷藏。</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（七）冷藏设备管理要求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遗体冷藏设备的用途及要求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遗体冷藏设备只能存放遗体或产科引产、分娩所致的死胎、胎盘组织、外科手术所致的残肢等医疗废弃物，除此之外不得存放其他任何物品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存放遗体的冷藏设备应和存放上述医疗废弃物的冷藏设备区别，不得在同一冷藏设备中进行混存</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遗体冷藏设备应放在干燥、通风、避免阳光直射、远离热源之处电源线路与插座应专线专用</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遗体冷藏设备应带有温度检测设施和功能，无自带温度检测功能的应放置温度计，温度的取值范围根据环境温度和遗体的具体情况决定。</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遗体冷藏设备的使用要求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对遗体或医疗废弃物进行冷藏前，应对冷藏设备进行试运行，确定制冷正常后方能存入</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对患传染性疾病死亡的遗体、有肝腹水的遗体、已出现腐败现象的遗体，受冷藏防腐肌理的限制，无法保证病原的不扩散和遗体不出现腐败。因此不得使用冷藏设备冷藏上述遗体</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每天应对冰棺运行情况和遗体保存情况进行4-6次以上的检查，并做好相应的记录</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在遗体移出后或医疗废弃物处理后，应及时对冷藏设备进行消毒和做好清洁卫生，防止病源扩散</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做好待用冷藏设备的日常清洁和维护工作，保证冷藏设备的性能正常。</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应急措施</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若冷藏设备出现故障、应及时将遗体或医疗废弃物转存至其他制冷正常</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冷藏设备中，并及时通知维修部门对故障设备进行维修。</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若出现冷藏设备数量不足时，应做好丧属工作。在征得丧属同意后，将遗体转至殡仪馆冷藏，若丧属不同意，需立即联系公司总部调运备用冷藏设备进行应急。</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（八）专利权和保密要求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投标供应商应保证使用方在使用该货物或其任何一部分时，不受第三方侵权指控。同时，投标供应商不得向第三方泄露采购机构提供的技术文件等资料。</w:t>
      </w:r>
    </w:p>
    <w:p>
      <w:pPr>
        <w:pStyle w:val="5"/>
        <w:pageBreakBefore w:val="0"/>
        <w:widowControl w:val="0"/>
        <w:kinsoku/>
        <w:wordWrap/>
        <w:overflowPunct/>
        <w:topLinePunct w:val="0"/>
        <w:bidi w:val="0"/>
        <w:spacing w:line="360" w:lineRule="auto"/>
        <w:ind w:firstLine="56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lang w:val="zh-CN" w:eastAsia="zh-CN"/>
        </w:rPr>
        <w:t>）</w:t>
      </w:r>
      <w:r>
        <w:rPr>
          <w:rFonts w:hint="eastAsia" w:ascii="楷体_GB2312" w:hAnsi="楷体_GB2312" w:eastAsia="楷体_GB2312" w:cs="楷体_GB2312"/>
          <w:b/>
          <w:bCs/>
          <w:sz w:val="32"/>
          <w:szCs w:val="32"/>
          <w:lang w:val="en-US" w:eastAsia="zh-CN"/>
        </w:rPr>
        <w:t>其他要求</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1.原设备由中标单位自行与医院原服务保障单位进行折旧清算；</w:t>
      </w:r>
    </w:p>
    <w:p>
      <w:pPr>
        <w:pStyle w:val="5"/>
        <w:pageBreakBefore w:val="0"/>
        <w:widowControl w:val="0"/>
        <w:kinsoku/>
        <w:wordWrap/>
        <w:overflowPunct/>
        <w:topLinePunct w:val="0"/>
        <w:bidi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2.投标单位</w:t>
      </w:r>
      <w:r>
        <w:rPr>
          <w:rFonts w:hint="eastAsia" w:ascii="仿宋_GB2312" w:hAnsi="仿宋_GB2312" w:eastAsia="仿宋_GB2312" w:cs="仿宋_GB2312"/>
          <w:sz w:val="32"/>
          <w:szCs w:val="32"/>
          <w:highlight w:val="none"/>
          <w:lang w:val="zh-CN" w:eastAsia="zh-CN"/>
        </w:rPr>
        <w:t>承诺</w:t>
      </w:r>
      <w:r>
        <w:rPr>
          <w:rFonts w:hint="eastAsia" w:ascii="仿宋_GB2312" w:hAnsi="仿宋_GB2312" w:eastAsia="仿宋_GB2312" w:cs="仿宋_GB2312"/>
          <w:sz w:val="32"/>
          <w:szCs w:val="32"/>
          <w:highlight w:val="none"/>
          <w:lang w:val="en-US" w:eastAsia="zh-CN"/>
        </w:rPr>
        <w:t>除院方安排的值班室以外，需自行解决</w:t>
      </w:r>
      <w:r>
        <w:rPr>
          <w:rFonts w:hint="eastAsia" w:ascii="仿宋_GB2312" w:hAnsi="仿宋_GB2312" w:eastAsia="仿宋_GB2312" w:cs="仿宋_GB2312"/>
          <w:sz w:val="32"/>
          <w:szCs w:val="32"/>
          <w:highlight w:val="none"/>
          <w:lang w:val="zh-CN" w:eastAsia="zh-CN"/>
        </w:rPr>
        <w:t>员工住宿；</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投标单位须</w:t>
      </w:r>
      <w:r>
        <w:rPr>
          <w:rFonts w:hint="eastAsia" w:ascii="仿宋_GB2312" w:hAnsi="仿宋_GB2312" w:eastAsia="仿宋_GB2312" w:cs="仿宋_GB2312"/>
          <w:sz w:val="32"/>
          <w:szCs w:val="32"/>
          <w:highlight w:val="none"/>
          <w:lang w:val="zh-CN" w:eastAsia="zh-CN"/>
        </w:rPr>
        <w:t>承诺对所有</w:t>
      </w:r>
      <w:r>
        <w:rPr>
          <w:rFonts w:hint="eastAsia" w:ascii="仿宋_GB2312" w:hAnsi="仿宋_GB2312" w:eastAsia="仿宋_GB2312" w:cs="仿宋_GB2312"/>
          <w:sz w:val="32"/>
          <w:szCs w:val="32"/>
          <w:highlight w:val="none"/>
          <w:lang w:val="en-US" w:eastAsia="zh-CN"/>
        </w:rPr>
        <w:t>承包</w:t>
      </w:r>
      <w:r>
        <w:rPr>
          <w:rFonts w:hint="eastAsia" w:ascii="仿宋_GB2312" w:hAnsi="仿宋_GB2312" w:eastAsia="仿宋_GB2312" w:cs="仿宋_GB2312"/>
          <w:sz w:val="32"/>
          <w:szCs w:val="32"/>
          <w:highlight w:val="none"/>
          <w:lang w:val="zh-CN" w:eastAsia="zh-CN"/>
        </w:rPr>
        <w:t>范围内的各项工作，均</w:t>
      </w:r>
      <w:r>
        <w:rPr>
          <w:rFonts w:hint="eastAsia" w:ascii="仿宋_GB2312" w:hAnsi="仿宋_GB2312" w:eastAsia="仿宋_GB2312" w:cs="仿宋_GB2312"/>
          <w:sz w:val="32"/>
          <w:szCs w:val="32"/>
          <w:highlight w:val="none"/>
          <w:lang w:val="en-US" w:eastAsia="zh-CN"/>
        </w:rPr>
        <w:t>负</w:t>
      </w:r>
      <w:r>
        <w:rPr>
          <w:rFonts w:hint="eastAsia" w:ascii="仿宋_GB2312" w:hAnsi="仿宋_GB2312" w:eastAsia="仿宋_GB2312" w:cs="仿宋_GB2312"/>
          <w:sz w:val="32"/>
          <w:szCs w:val="32"/>
          <w:highlight w:val="none"/>
          <w:lang w:val="zh-CN" w:eastAsia="zh-CN"/>
        </w:rPr>
        <w:t>有不可推卸的责任；</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投标单位须</w:t>
      </w:r>
      <w:r>
        <w:rPr>
          <w:rFonts w:hint="eastAsia" w:ascii="仿宋_GB2312" w:hAnsi="仿宋_GB2312" w:eastAsia="仿宋_GB2312" w:cs="仿宋_GB2312"/>
          <w:sz w:val="32"/>
          <w:szCs w:val="32"/>
          <w:highlight w:val="none"/>
          <w:lang w:val="zh-CN" w:eastAsia="zh-CN"/>
        </w:rPr>
        <w:t>承诺全面履行本招标范围约定的义务与责任、完成约定的工作内容，满足国家规范、规程、标准所发生的的全部费用，包括但不限于完成人工、材料采购、设备器具、施工辅料、包装、运输、利润、税金、社保、管理等；</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投标</w:t>
      </w:r>
      <w:r>
        <w:rPr>
          <w:rFonts w:hint="eastAsia" w:ascii="仿宋_GB2312" w:hAnsi="仿宋_GB2312" w:eastAsia="仿宋_GB2312" w:cs="仿宋_GB2312"/>
          <w:sz w:val="32"/>
          <w:szCs w:val="32"/>
          <w:highlight w:val="none"/>
          <w:lang w:val="en-US" w:eastAsia="zh-CN"/>
        </w:rPr>
        <w:t>单位负责承担派驻人员所有费用，</w:t>
      </w:r>
      <w:r>
        <w:rPr>
          <w:rFonts w:hint="eastAsia" w:ascii="仿宋_GB2312" w:hAnsi="仿宋_GB2312" w:eastAsia="仿宋_GB2312" w:cs="仿宋_GB2312"/>
          <w:sz w:val="32"/>
          <w:szCs w:val="32"/>
          <w:highlight w:val="none"/>
          <w:lang w:val="zh-CN" w:eastAsia="zh-CN"/>
        </w:rPr>
        <w:t>包含人员工资、岗位工资、社保、饭贴、公积金、税费、高温费、节假日加班、平时加班费、服装费、体检费、耗材费、工具、办公用品、设备物资、管理费、利润、风险等一切费用；</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6.投标单位应提供医院服务相关证明，提供的材料为合同复印件包括但不限于：合同首尾页、签字盖章页、合同金额页、服务信息页；</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7.合同履约期间投标单位须</w:t>
      </w:r>
      <w:r>
        <w:rPr>
          <w:rFonts w:hint="eastAsia" w:ascii="仿宋_GB2312" w:hAnsi="仿宋_GB2312" w:eastAsia="仿宋_GB2312" w:cs="仿宋_GB2312"/>
          <w:sz w:val="32"/>
          <w:szCs w:val="32"/>
          <w:highlight w:val="none"/>
          <w:lang w:val="zh-CN" w:eastAsia="zh-CN"/>
        </w:rPr>
        <w:t>承诺</w:t>
      </w:r>
      <w:r>
        <w:rPr>
          <w:rFonts w:hint="eastAsia" w:ascii="仿宋_GB2312" w:hAnsi="仿宋_GB2312" w:eastAsia="仿宋_GB2312" w:cs="仿宋_GB2312"/>
          <w:sz w:val="32"/>
          <w:szCs w:val="32"/>
          <w:highlight w:val="none"/>
          <w:lang w:val="en-US" w:eastAsia="zh-CN"/>
        </w:rPr>
        <w:t>员工必须遵守院方的一切规章制度，避免违法违纪行为，如发生违法违纪行为，其一切后果由</w:t>
      </w:r>
      <w:r>
        <w:rPr>
          <w:rFonts w:hint="eastAsia" w:ascii="仿宋_GB2312" w:hAnsi="仿宋_GB2312" w:eastAsia="仿宋_GB2312" w:cs="仿宋_GB2312"/>
          <w:sz w:val="32"/>
          <w:szCs w:val="32"/>
          <w:highlight w:val="none"/>
          <w:lang w:val="zh-CN" w:eastAsia="zh-CN"/>
        </w:rPr>
        <w:t>中标</w:t>
      </w:r>
      <w:r>
        <w:rPr>
          <w:rFonts w:hint="eastAsia" w:ascii="仿宋_GB2312" w:hAnsi="仿宋_GB2312" w:eastAsia="仿宋_GB2312" w:cs="仿宋_GB2312"/>
          <w:sz w:val="32"/>
          <w:szCs w:val="32"/>
          <w:highlight w:val="none"/>
          <w:lang w:val="en-US" w:eastAsia="zh-CN"/>
        </w:rPr>
        <w:t xml:space="preserve">单位负责；  </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8.如因投标单位或其员工原因导致院方或第三方发生人身伤亡、财产损失等一切恶性事件，由投标单位全权负责，并承担一切法律后果；</w:t>
      </w:r>
    </w:p>
    <w:p>
      <w:pPr>
        <w:pStyle w:val="5"/>
        <w:pageBreakBefore w:val="0"/>
        <w:widowControl w:val="0"/>
        <w:kinsoku/>
        <w:wordWrap/>
        <w:overflowPunct/>
        <w:topLinePunct w:val="0"/>
        <w:bidi w:val="0"/>
        <w:spacing w:line="360" w:lineRule="auto"/>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9.投标单位中标后须向院方提供所有驻场工作人员无犯罪记录证明、健康证；</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投标单位</w:t>
      </w:r>
      <w:r>
        <w:rPr>
          <w:rFonts w:hint="eastAsia" w:ascii="仿宋_GB2312" w:hAnsi="仿宋_GB2312" w:eastAsia="仿宋_GB2312" w:cs="仿宋_GB2312"/>
          <w:sz w:val="32"/>
          <w:szCs w:val="32"/>
          <w:highlight w:val="none"/>
          <w:lang w:val="zh-CN" w:eastAsia="zh-CN"/>
        </w:rPr>
        <w:t>须承诺，对服务需求提供7*24小时响应。</w:t>
      </w:r>
    </w:p>
    <w:p>
      <w:pPr>
        <w:pageBreakBefore w:val="0"/>
        <w:widowControl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val="0"/>
        <w:autoSpaceDN w:val="0"/>
        <w:bidi w:val="0"/>
        <w:adjustRightInd w:val="0"/>
        <w:spacing w:afterLines="100" w:line="360" w:lineRule="auto"/>
        <w:jc w:val="center"/>
        <w:textAlignment w:val="auto"/>
        <w:outlineLvl w:val="0"/>
        <w:rPr>
          <w:rFonts w:ascii="Times New Roman" w:hAnsi="Times New Roman" w:eastAsia="方正小标宋简体" w:cs="Times New Roman"/>
          <w:sz w:val="32"/>
          <w:szCs w:val="32"/>
          <w:lang w:val="zh-CN"/>
        </w:rPr>
      </w:pPr>
    </w:p>
    <w:p>
      <w:pPr>
        <w:pageBreakBefore w:val="0"/>
        <w:widowControl w:val="0"/>
        <w:kinsoku/>
        <w:wordWrap/>
        <w:overflowPunct/>
        <w:topLinePunct w:val="0"/>
        <w:autoSpaceDE w:val="0"/>
        <w:autoSpaceDN w:val="0"/>
        <w:bidi w:val="0"/>
        <w:adjustRightInd w:val="0"/>
        <w:spacing w:afterLines="100" w:line="360" w:lineRule="auto"/>
        <w:jc w:val="center"/>
        <w:textAlignment w:val="auto"/>
        <w:outlineLvl w:val="0"/>
        <w:rPr>
          <w:rFonts w:ascii="Times New Roman" w:hAnsi="Times New Roman" w:eastAsia="方正小标宋简体" w:cs="Times New Roman"/>
          <w:sz w:val="32"/>
          <w:szCs w:val="32"/>
          <w:lang w:val="zh-CN"/>
        </w:rPr>
      </w:pPr>
    </w:p>
    <w:p>
      <w:pPr>
        <w:pageBreakBefore w:val="0"/>
        <w:widowControl w:val="0"/>
        <w:kinsoku/>
        <w:wordWrap/>
        <w:overflowPunct/>
        <w:topLinePunct w:val="0"/>
        <w:autoSpaceDE w:val="0"/>
        <w:autoSpaceDN w:val="0"/>
        <w:bidi w:val="0"/>
        <w:adjustRightInd w:val="0"/>
        <w:spacing w:afterLines="100" w:line="360" w:lineRule="auto"/>
        <w:jc w:val="center"/>
        <w:textAlignment w:val="auto"/>
        <w:outlineLvl w:val="0"/>
        <w:rPr>
          <w:rFonts w:ascii="Times New Roman" w:hAnsi="Times New Roman" w:eastAsia="方正小标宋简体" w:cs="Times New Roman"/>
          <w:sz w:val="32"/>
          <w:szCs w:val="32"/>
          <w:lang w:val="zh-CN"/>
        </w:rPr>
      </w:pPr>
    </w:p>
    <w:p>
      <w:pPr>
        <w:pageBreakBefore w:val="0"/>
        <w:widowControl w:val="0"/>
        <w:kinsoku/>
        <w:wordWrap/>
        <w:overflowPunct/>
        <w:topLinePunct w:val="0"/>
        <w:autoSpaceDE w:val="0"/>
        <w:autoSpaceDN w:val="0"/>
        <w:bidi w:val="0"/>
        <w:adjustRightInd w:val="0"/>
        <w:spacing w:afterLines="100" w:line="360" w:lineRule="auto"/>
        <w:jc w:val="center"/>
        <w:textAlignment w:val="auto"/>
        <w:outlineLvl w:val="0"/>
        <w:rPr>
          <w:rFonts w:ascii="Times New Roman" w:hAnsi="Times New Roman" w:eastAsia="方正小标宋简体" w:cs="Times New Roman"/>
          <w:sz w:val="32"/>
          <w:szCs w:val="32"/>
          <w:lang w:val="zh-CN"/>
        </w:rPr>
      </w:pPr>
    </w:p>
    <w:p>
      <w:pPr>
        <w:pageBreakBefore w:val="0"/>
        <w:widowControl w:val="0"/>
        <w:kinsoku/>
        <w:wordWrap/>
        <w:overflowPunct/>
        <w:topLinePunct w:val="0"/>
        <w:autoSpaceDE w:val="0"/>
        <w:autoSpaceDN w:val="0"/>
        <w:bidi w:val="0"/>
        <w:adjustRightInd w:val="0"/>
        <w:spacing w:afterLines="100" w:line="360" w:lineRule="auto"/>
        <w:jc w:val="center"/>
        <w:textAlignment w:val="auto"/>
        <w:outlineLvl w:val="0"/>
        <w:rPr>
          <w:rFonts w:ascii="Times New Roman" w:hAnsi="Times New Roman" w:eastAsia="方正小标宋简体" w:cs="Times New Roman"/>
          <w:sz w:val="32"/>
          <w:szCs w:val="32"/>
          <w:lang w:val="zh-CN"/>
        </w:rPr>
      </w:pPr>
    </w:p>
    <w:p>
      <w:pPr>
        <w:pageBreakBefore w:val="0"/>
        <w:widowControl w:val="0"/>
        <w:kinsoku/>
        <w:wordWrap/>
        <w:overflowPunct/>
        <w:topLinePunct w:val="0"/>
        <w:bidi w:val="0"/>
        <w:spacing w:line="360" w:lineRule="auto"/>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94877-9A75-49AE-B5D1-09697B04E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C42F81-E595-43D4-9D2E-099D1A3B1A6A}"/>
  </w:font>
  <w:font w:name="方正小标宋简体">
    <w:panose1 w:val="02000000000000000000"/>
    <w:charset w:val="86"/>
    <w:family w:val="auto"/>
    <w:pitch w:val="default"/>
    <w:sig w:usb0="00000001" w:usb1="080E0000" w:usb2="00000000" w:usb3="00000000" w:csb0="00040000" w:csb1="00000000"/>
    <w:embedRegular r:id="rId3" w:fontKey="{BC08FADF-6CCB-40E5-B77D-D29032DFA8B1}"/>
  </w:font>
  <w:font w:name="仿宋_GB2312">
    <w:panose1 w:val="02010609030101010101"/>
    <w:charset w:val="86"/>
    <w:family w:val="auto"/>
    <w:pitch w:val="default"/>
    <w:sig w:usb0="00000001" w:usb1="080E0000" w:usb2="00000000" w:usb3="00000000" w:csb0="00040000" w:csb1="00000000"/>
    <w:embedRegular r:id="rId4" w:fontKey="{68A74702-EFBF-4B49-BF4B-940B032BECD2}"/>
  </w:font>
  <w:font w:name="楷体_GB2312">
    <w:panose1 w:val="02010609030101010101"/>
    <w:charset w:val="86"/>
    <w:family w:val="auto"/>
    <w:pitch w:val="default"/>
    <w:sig w:usb0="00000001" w:usb1="080E0000" w:usb2="00000000" w:usb3="00000000" w:csb0="00040000" w:csb1="00000000"/>
    <w:embedRegular r:id="rId5" w:fontKey="{148F71BC-B907-49BC-A421-7534F73DC5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15134A63"/>
    <w:rsid w:val="15134A63"/>
    <w:rsid w:val="1D202700"/>
    <w:rsid w:val="36017203"/>
    <w:rsid w:val="67DB2AF0"/>
    <w:rsid w:val="754E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Times New Roman" w:hAnsi="Times New Roman" w:eastAsia="宋体" w:cs="Times New Roman"/>
      <w:kern w:val="0"/>
      <w:sz w:val="24"/>
    </w:rPr>
  </w:style>
  <w:style w:type="paragraph" w:styleId="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2024-02-21T06:52:00Z</dcterms:created>
  <dc:creator>Liu</dc:creator>
  <cp:lastModifiedBy>Liu</cp:lastModifiedBy>
  <cp:lastPrinted>2024-02-21T07:07:00Z</cp:lastPrinted>
  <dcterms:modified xsi:type="dcterms:W3CDTF">2024-02-26T00:22:54Z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D5FB67C9F13941F29EEFA2030EDACA4C_11</vt:lpwstr>
  </property>
</Properties>
</file>