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tbl>
      <w:tblPr>
        <w:tblStyle w:val="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30"/>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shd w:val="clear" w:color="auto" w:fill="auto"/>
            <w:noWrap w:val="0"/>
            <w:vAlign w:val="center"/>
          </w:tcPr>
          <w:p>
            <w:pPr>
              <w:jc w:val="center"/>
              <w:rPr>
                <w:rFonts w:ascii="宋体" w:eastAsia="宋体"/>
                <w:b/>
                <w:bCs/>
                <w:sz w:val="24"/>
                <w:szCs w:val="24"/>
              </w:rPr>
            </w:pPr>
            <w:r>
              <w:rPr>
                <w:rFonts w:hint="eastAsia"/>
                <w:b/>
                <w:bCs/>
                <w:sz w:val="24"/>
                <w:szCs w:val="24"/>
              </w:rPr>
              <w:t>序号</w:t>
            </w:r>
          </w:p>
        </w:tc>
        <w:tc>
          <w:tcPr>
            <w:tcW w:w="1430" w:type="dxa"/>
            <w:shd w:val="clear" w:color="auto" w:fill="auto"/>
            <w:noWrap w:val="0"/>
            <w:vAlign w:val="center"/>
          </w:tcPr>
          <w:p>
            <w:pPr>
              <w:jc w:val="center"/>
              <w:rPr>
                <w:rFonts w:ascii="宋体" w:eastAsia="宋体"/>
                <w:b/>
                <w:bCs/>
                <w:sz w:val="24"/>
                <w:szCs w:val="24"/>
              </w:rPr>
            </w:pPr>
            <w:r>
              <w:rPr>
                <w:rFonts w:hint="eastAsia"/>
                <w:b/>
                <w:bCs/>
                <w:sz w:val="24"/>
                <w:szCs w:val="24"/>
              </w:rPr>
              <w:t>　</w:t>
            </w:r>
          </w:p>
        </w:tc>
        <w:tc>
          <w:tcPr>
            <w:tcW w:w="6744" w:type="dxa"/>
            <w:shd w:val="clear" w:color="auto" w:fill="auto"/>
            <w:noWrap w:val="0"/>
            <w:vAlign w:val="center"/>
          </w:tcPr>
          <w:p>
            <w:pPr>
              <w:jc w:val="center"/>
              <w:rPr>
                <w:rFonts w:ascii="宋体" w:eastAsia="宋体"/>
                <w:b/>
                <w:bCs/>
                <w:sz w:val="24"/>
                <w:szCs w:val="24"/>
              </w:rPr>
            </w:pPr>
            <w:r>
              <w:rPr>
                <w:rFonts w:hint="eastAsia"/>
                <w:b/>
                <w:bCs/>
                <w:sz w:val="24"/>
                <w:szCs w:val="24"/>
              </w:rPr>
              <w:t>技术性能要求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1</w:t>
            </w:r>
          </w:p>
        </w:tc>
        <w:tc>
          <w:tcPr>
            <w:tcW w:w="1430"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基本要求</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xml:space="preserve"> 临床用于患者的持续性肾脏替代治疗，血浆置换治疗和血液灌流治疗。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2</w:t>
            </w:r>
          </w:p>
        </w:tc>
        <w:tc>
          <w:tcPr>
            <w:tcW w:w="1430"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资质认证</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设备技术和性能参数</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治疗模式</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连续静脉静脉血液滤过（CVVH）</w:t>
            </w:r>
            <w:r>
              <w:rPr>
                <w:rFonts w:hint="eastAsia"/>
                <w:color w:val="000000"/>
                <w:sz w:val="24"/>
                <w:szCs w:val="24"/>
              </w:rPr>
              <w:br w:type="textWrapping"/>
            </w:r>
            <w:r>
              <w:rPr>
                <w:rFonts w:hint="eastAsia"/>
                <w:color w:val="000000"/>
                <w:sz w:val="24"/>
                <w:szCs w:val="24"/>
              </w:rPr>
              <w:t>连续静脉静脉血液透析（CVVHD）</w:t>
            </w:r>
            <w:r>
              <w:rPr>
                <w:rFonts w:hint="eastAsia"/>
                <w:color w:val="000000"/>
                <w:sz w:val="24"/>
                <w:szCs w:val="24"/>
              </w:rPr>
              <w:br w:type="textWrapping"/>
            </w:r>
            <w:r>
              <w:rPr>
                <w:rFonts w:hint="eastAsia"/>
                <w:color w:val="000000"/>
                <w:sz w:val="24"/>
                <w:szCs w:val="24"/>
              </w:rPr>
              <w:t>连续静脉静脉血液滤过透析（CVVHDF）,前+后稀释CVVH/CVVHDF治疗</w:t>
            </w:r>
            <w:r>
              <w:rPr>
                <w:rFonts w:hint="eastAsia"/>
                <w:color w:val="000000"/>
                <w:sz w:val="24"/>
                <w:szCs w:val="24"/>
              </w:rPr>
              <w:br w:type="textWrapping"/>
            </w:r>
            <w:r>
              <w:rPr>
                <w:rFonts w:hint="eastAsia"/>
                <w:color w:val="000000"/>
                <w:sz w:val="24"/>
                <w:szCs w:val="24"/>
              </w:rPr>
              <w:t>缓慢持续超滤（SCUF），血液灌流（HP），血浆置换（TPE）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耗材</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所有管路和滤器有颜色标示易于安装，避免误操作。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3.3</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管路夹闭</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具有自动夹管阀，不需要手动更换滤器和管路的情况下实行：</w:t>
            </w:r>
            <w:r>
              <w:rPr>
                <w:rFonts w:hint="eastAsia"/>
                <w:color w:val="000000"/>
                <w:sz w:val="24"/>
                <w:szCs w:val="24"/>
              </w:rPr>
              <w:br w:type="textWrapping"/>
            </w:r>
            <w:r>
              <w:rPr>
                <w:rFonts w:hint="eastAsia"/>
                <w:color w:val="000000"/>
                <w:sz w:val="24"/>
                <w:szCs w:val="24"/>
              </w:rPr>
              <w:t>前稀释CVVH/CVVHDF、后稀释CVVH/CVVHDF和</w:t>
            </w:r>
            <w:r>
              <w:rPr>
                <w:rFonts w:hint="eastAsia"/>
                <w:color w:val="000000"/>
                <w:sz w:val="24"/>
                <w:szCs w:val="24"/>
              </w:rPr>
              <w:br w:type="textWrapping"/>
            </w:r>
            <w:r>
              <w:rPr>
                <w:rFonts w:hint="eastAsia"/>
                <w:color w:val="000000"/>
                <w:sz w:val="24"/>
                <w:szCs w:val="24"/>
              </w:rPr>
              <w:t>前+后稀释CVVH/CVVHDF治疗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▲3.4</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泵系统</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一体化驱动泵≥5个泵，提供全面治疗方案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3.5</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血泵前泵</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无需另外购买泵或增加部件可进行枸橼酸抗凝治疗和血泵前稀释处方。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▲3.6</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枸橼酸抗凝系统</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支持HD，HF,HDF等任何治疗模式下的枸橼酸抗凝治疗,且无枸橼酸抗凝治疗专用耗材。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3.7</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血流速度</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15-225ml/min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3.8</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xml:space="preserve">置换液速度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12-80ml/min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3.9</w:t>
            </w:r>
          </w:p>
        </w:tc>
        <w:tc>
          <w:tcPr>
            <w:tcW w:w="1430" w:type="dxa"/>
            <w:shd w:val="clear" w:color="000000" w:fill="FFFFFF"/>
            <w:noWrap w:val="0"/>
            <w:vAlign w:val="center"/>
          </w:tcPr>
          <w:p>
            <w:pPr>
              <w:rPr>
                <w:rFonts w:ascii="宋体" w:eastAsia="宋体"/>
                <w:color w:val="000000"/>
                <w:sz w:val="24"/>
                <w:szCs w:val="24"/>
              </w:rPr>
            </w:pPr>
            <w:r>
              <w:rPr>
                <w:rFonts w:hint="eastAsia"/>
                <w:color w:val="000000"/>
                <w:sz w:val="24"/>
                <w:szCs w:val="24"/>
              </w:rPr>
              <w:t xml:space="preserve">透析液速度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12-80ml/min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3.10</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脱水速度</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0-990ml/h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3.11</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废液速度</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5-120ml/min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3.12</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精确度</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设定流量的±10%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3.13</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支持与ECMO的无缝连接，压力自动匹配</w:t>
            </w:r>
            <w:r>
              <w:rPr>
                <w:rFonts w:hint="eastAsia"/>
                <w:color w:val="000000"/>
                <w:sz w:val="24"/>
                <w:szCs w:val="24"/>
              </w:rPr>
              <w:br w:type="textWrapping"/>
            </w:r>
            <w:r>
              <w:rPr>
                <w:rFonts w:hint="eastAsia"/>
                <w:color w:val="000000"/>
                <w:sz w:val="24"/>
                <w:szCs w:val="24"/>
              </w:rPr>
              <w:t>支持与X-MARS机器的连接，更好支持的人工肝治疗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3.14</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肝素泵</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注射器规格:注射器：20ml 50ml可选</w:t>
            </w:r>
            <w:r>
              <w:rPr>
                <w:rFonts w:hint="eastAsia"/>
                <w:color w:val="000000"/>
                <w:sz w:val="24"/>
                <w:szCs w:val="24"/>
              </w:rPr>
              <w:br w:type="textWrapping"/>
            </w:r>
            <w:r>
              <w:rPr>
                <w:rFonts w:hint="eastAsia"/>
                <w:color w:val="000000"/>
                <w:sz w:val="24"/>
                <w:szCs w:val="24"/>
              </w:rPr>
              <w:t>注射泵持续流量:0.5-20ml/h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▲3.15</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压力监测</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 动脉压检测范围:-250mmHg～+200mmHg，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2) 静脉压检测范围:-20mmHg～+350mmHg，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3) 滤器前压力检测范围:-50mmHg～+300mmHg</w:t>
            </w:r>
            <w:r>
              <w:rPr>
                <w:rFonts w:hint="eastAsia"/>
                <w:color w:val="000000"/>
                <w:sz w:val="24"/>
                <w:szCs w:val="24"/>
              </w:rPr>
              <w:br w:type="textWrapping"/>
            </w:r>
            <w:r>
              <w:rPr>
                <w:rFonts w:hint="eastAsia"/>
                <w:color w:val="000000"/>
                <w:sz w:val="24"/>
                <w:szCs w:val="24"/>
              </w:rPr>
              <w:t>精确度：±10mmHg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4) 滤过液压力检测范围:-250mmHg～+400mmHg，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5)跨膜压力检测范围:0～+300mmHg，</w:t>
            </w:r>
            <w:r>
              <w:rPr>
                <w:rFonts w:hint="eastAsia"/>
                <w:color w:val="000000"/>
                <w:sz w:val="24"/>
                <w:szCs w:val="24"/>
              </w:rPr>
              <w:br w:type="textWrapping"/>
            </w:r>
            <w:r>
              <w:rPr>
                <w:rFonts w:hint="eastAsia"/>
                <w:color w:val="000000"/>
                <w:sz w:val="24"/>
                <w:szCs w:val="24"/>
              </w:rPr>
              <w:t>精确度：±20mmHg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3.16</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安全性</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1）抗静电：抗静电装置，避免ECG干扰</w:t>
            </w:r>
            <w:r>
              <w:rPr>
                <w:rFonts w:hint="eastAsia"/>
                <w:color w:val="000000"/>
                <w:sz w:val="24"/>
                <w:szCs w:val="24"/>
              </w:rPr>
              <w:br w:type="textWrapping"/>
            </w:r>
            <w:r>
              <w:rPr>
                <w:rFonts w:hint="eastAsia"/>
                <w:color w:val="000000"/>
                <w:sz w:val="24"/>
                <w:szCs w:val="24"/>
              </w:rPr>
              <w:t>2）静脉壶：可调节静脉壶液面高度自动调节和自动排气</w:t>
            </w:r>
            <w:r>
              <w:rPr>
                <w:rFonts w:hint="eastAsia"/>
                <w:color w:val="000000"/>
                <w:sz w:val="24"/>
                <w:szCs w:val="24"/>
              </w:rPr>
              <w:br w:type="textWrapping"/>
            </w:r>
            <w:r>
              <w:rPr>
                <w:rFonts w:hint="eastAsia"/>
                <w:color w:val="000000"/>
                <w:sz w:val="24"/>
                <w:szCs w:val="24"/>
              </w:rPr>
              <w:t>3) 配套全自动快速预冲和自检</w:t>
            </w:r>
            <w:r>
              <w:rPr>
                <w:rFonts w:hint="eastAsia"/>
                <w:color w:val="000000"/>
                <w:sz w:val="24"/>
                <w:szCs w:val="24"/>
              </w:rPr>
              <w:br w:type="textWrapping"/>
            </w:r>
            <w:r>
              <w:rPr>
                <w:rFonts w:hint="eastAsia"/>
                <w:color w:val="000000"/>
                <w:sz w:val="24"/>
                <w:szCs w:val="24"/>
              </w:rPr>
              <w:t>4）暂停治疗：临时中断循环程序(可使病人暂时脱机去进行其他检查或治疗)</w:t>
            </w:r>
            <w:r>
              <w:rPr>
                <w:rFonts w:hint="eastAsia"/>
                <w:color w:val="000000"/>
                <w:sz w:val="24"/>
                <w:szCs w:val="24"/>
              </w:rPr>
              <w:br w:type="textWrapping"/>
            </w:r>
            <w:r>
              <w:rPr>
                <w:rFonts w:hint="eastAsia"/>
                <w:color w:val="000000"/>
                <w:sz w:val="24"/>
                <w:szCs w:val="24"/>
              </w:rPr>
              <w:t>5）液体平衡：一体化液体平衡监测系统，最大误差不超过330ml，保证患者治疗的安全。</w:t>
            </w:r>
            <w:r>
              <w:rPr>
                <w:rFonts w:hint="eastAsia"/>
                <w:color w:val="000000"/>
                <w:sz w:val="24"/>
                <w:szCs w:val="24"/>
              </w:rPr>
              <w:br w:type="textWrapping"/>
            </w:r>
            <w:r>
              <w:rPr>
                <w:rFonts w:hint="eastAsia"/>
                <w:color w:val="000000"/>
                <w:sz w:val="24"/>
                <w:szCs w:val="24"/>
              </w:rPr>
              <w:t>6）自动报警：连续对比的报警监测，自动判断，发出报警并提供解决建议，优化设计减少误报警。</w:t>
            </w:r>
            <w:r>
              <w:rPr>
                <w:rFonts w:hint="eastAsia"/>
                <w:color w:val="000000"/>
                <w:sz w:val="24"/>
                <w:szCs w:val="24"/>
              </w:rPr>
              <w:br w:type="textWrapping"/>
            </w:r>
            <w:r>
              <w:rPr>
                <w:rFonts w:hint="eastAsia"/>
                <w:color w:val="000000"/>
                <w:sz w:val="24"/>
                <w:szCs w:val="24"/>
              </w:rPr>
              <w:t>7）压力分析： 跨膜压及滤器下降压双重监测系统:同时监测滤膜及空心纤维的凝血状况；自动判断，提示（包括数值显示、图表、趋势显示）及报警滤器凝血状态。</w:t>
            </w:r>
            <w:r>
              <w:rPr>
                <w:rFonts w:hint="eastAsia"/>
                <w:color w:val="000000"/>
                <w:sz w:val="24"/>
                <w:szCs w:val="24"/>
              </w:rPr>
              <w:br w:type="textWrapping"/>
            </w:r>
            <w:r>
              <w:rPr>
                <w:rFonts w:hint="eastAsia"/>
                <w:color w:val="000000"/>
                <w:sz w:val="24"/>
                <w:szCs w:val="24"/>
              </w:rPr>
              <w:t>8）漏血检测：利用光学原理</w:t>
            </w:r>
            <w:r>
              <w:rPr>
                <w:rFonts w:hint="eastAsia"/>
                <w:color w:val="000000"/>
                <w:sz w:val="24"/>
                <w:szCs w:val="24"/>
              </w:rPr>
              <w:br w:type="textWrapping"/>
            </w:r>
            <w:r>
              <w:rPr>
                <w:rFonts w:hint="eastAsia"/>
                <w:color w:val="000000"/>
                <w:sz w:val="24"/>
                <w:szCs w:val="24"/>
              </w:rPr>
              <w:t>9）空气检测：超声波检测方式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3.17</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显示屏</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全中文彩色液晶触摸显示屏≥10英寸，治疗设置简易快速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3.18</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操作系统</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人性化的中文界面，图文并茂的引导式操作，治疗参数数值及曲线图显示功能。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3.19</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电子秤</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≥3个 0-10kg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3.20</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治疗结束：具有自动回血功能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3.21</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具有漏液检测系统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3.22</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后备电源</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具有后备电源，断电后保证治疗连续性≥10min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3.23</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具有血液灌流器支架，方便HP治疗的开展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3.24</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加温系统</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独立的加温系统，可进行液体或血液加温，控制温度：35～39℃，连续可调≤1℃/档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3.25</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具备USB接口，数据下载便捷快速，方便临床对患者治疗数据的分析应用及学术论文的书写。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▲3.26</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外设接口</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可用于中央数据网，提供开放端口，与医院系统无缝链接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3.27</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治疗档案</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xml:space="preserve">机器内置存储器，可存储100例患者的连续治疗文件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3.28</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网路接口</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计算机网络接口，远程访问自动存档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4</w:t>
            </w:r>
          </w:p>
        </w:tc>
        <w:tc>
          <w:tcPr>
            <w:tcW w:w="1430"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耗材/试剂性能参数</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4.1</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1）补耗材清单；</w:t>
            </w:r>
            <w:r>
              <w:rPr>
                <w:rFonts w:hint="eastAsia"/>
                <w:color w:val="000000"/>
                <w:sz w:val="24"/>
                <w:szCs w:val="24"/>
              </w:rPr>
              <w:br w:type="textWrapping"/>
            </w:r>
            <w:r>
              <w:rPr>
                <w:rFonts w:hint="eastAsia"/>
                <w:color w:val="000000"/>
                <w:sz w:val="24"/>
                <w:szCs w:val="24"/>
              </w:rPr>
              <w:t>2）有国家27位码且在上海阳光平台已完成备案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5</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配置需求</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5.1</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硬件</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1）碳肾支架</w:t>
            </w:r>
            <w:r>
              <w:rPr>
                <w:rFonts w:hint="eastAsia"/>
                <w:color w:val="000000"/>
                <w:sz w:val="24"/>
                <w:szCs w:val="24"/>
              </w:rPr>
              <w:br w:type="textWrapping"/>
            </w:r>
            <w:r>
              <w:rPr>
                <w:rFonts w:hint="eastAsia"/>
                <w:color w:val="000000"/>
                <w:sz w:val="24"/>
                <w:szCs w:val="24"/>
              </w:rPr>
              <w:t>2）外置秤的情况下需要秤调教套件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6</w:t>
            </w:r>
          </w:p>
        </w:tc>
        <w:tc>
          <w:tcPr>
            <w:tcW w:w="1430" w:type="dxa"/>
            <w:shd w:val="clear" w:color="auto" w:fill="auto"/>
            <w:noWrap w:val="0"/>
            <w:vAlign w:val="center"/>
          </w:tcPr>
          <w:p>
            <w:pPr>
              <w:rPr>
                <w:rFonts w:ascii="宋体" w:eastAsia="宋体"/>
                <w:color w:val="000000"/>
                <w:sz w:val="24"/>
                <w:szCs w:val="24"/>
              </w:rPr>
            </w:pPr>
            <w:r>
              <w:rPr>
                <w:rFonts w:hint="eastAsia"/>
                <w:color w:val="000000"/>
                <w:sz w:val="24"/>
                <w:szCs w:val="24"/>
              </w:rPr>
              <w:t>安装要求</w:t>
            </w:r>
          </w:p>
        </w:tc>
        <w:tc>
          <w:tcPr>
            <w:tcW w:w="6744" w:type="dxa"/>
            <w:shd w:val="clear" w:color="auto" w:fill="auto"/>
            <w:noWrap w:val="0"/>
            <w:vAlign w:val="center"/>
          </w:tcPr>
          <w:p>
            <w:pPr>
              <w:rPr>
                <w:rFonts w:ascii="宋体" w:eastAsia="宋体"/>
                <w:color w:val="000000"/>
                <w:sz w:val="24"/>
                <w:szCs w:val="24"/>
              </w:rPr>
            </w:pPr>
            <w:r>
              <w:rPr>
                <w:rFonts w:hint="eastAsia"/>
                <w:color w:val="000000"/>
                <w:sz w:val="24"/>
                <w:szCs w:val="24"/>
              </w:rPr>
              <w:t>220V（正常电压）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7</w:t>
            </w:r>
          </w:p>
        </w:tc>
        <w:tc>
          <w:tcPr>
            <w:tcW w:w="1430" w:type="dxa"/>
            <w:shd w:val="clear" w:color="auto" w:fill="auto"/>
            <w:noWrap w:val="0"/>
            <w:vAlign w:val="center"/>
          </w:tcPr>
          <w:p>
            <w:pPr>
              <w:rPr>
                <w:rFonts w:ascii="宋体" w:eastAsia="宋体"/>
                <w:b/>
                <w:bCs/>
                <w:color w:val="000000"/>
                <w:sz w:val="24"/>
                <w:szCs w:val="24"/>
              </w:rPr>
            </w:pPr>
            <w:r>
              <w:rPr>
                <w:rFonts w:hint="eastAsia"/>
                <w:b/>
                <w:bCs/>
                <w:color w:val="000000"/>
                <w:sz w:val="24"/>
                <w:szCs w:val="24"/>
              </w:rPr>
              <w:t>售后服务</w:t>
            </w:r>
          </w:p>
        </w:tc>
        <w:tc>
          <w:tcPr>
            <w:tcW w:w="6744" w:type="dxa"/>
            <w:shd w:val="clear" w:color="000000" w:fill="FFFFFF"/>
            <w:noWrap w:val="0"/>
            <w:vAlign w:val="center"/>
          </w:tcPr>
          <w:p>
            <w:pPr>
              <w:rPr>
                <w:rFonts w:ascii="宋体" w:eastAsia="宋体"/>
                <w:color w:val="000000"/>
                <w:sz w:val="24"/>
                <w:szCs w:val="24"/>
              </w:rPr>
            </w:pPr>
            <w:r>
              <w:rPr>
                <w:rFonts w:hint="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7.1</w:t>
            </w:r>
          </w:p>
        </w:tc>
        <w:tc>
          <w:tcPr>
            <w:tcW w:w="1430"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　</w:t>
            </w:r>
          </w:p>
        </w:tc>
        <w:tc>
          <w:tcPr>
            <w:tcW w:w="6744" w:type="dxa"/>
            <w:shd w:val="clear" w:color="000000" w:fill="FFFFFF"/>
            <w:noWrap w:val="0"/>
            <w:vAlign w:val="center"/>
          </w:tcPr>
          <w:p>
            <w:pPr>
              <w:rPr>
                <w:rFonts w:ascii="宋体" w:eastAsia="宋体"/>
                <w:color w:val="000000"/>
                <w:sz w:val="24"/>
                <w:szCs w:val="24"/>
              </w:rPr>
            </w:pPr>
            <w:r>
              <w:rPr>
                <w:rFonts w:hint="eastAsia"/>
                <w:color w:val="000000"/>
                <w:sz w:val="24"/>
                <w:szCs w:val="24"/>
              </w:rPr>
              <w:t>整机（含配制清单中的所有设备及材料）保修≥3年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7.2</w:t>
            </w:r>
          </w:p>
        </w:tc>
        <w:tc>
          <w:tcPr>
            <w:tcW w:w="1430" w:type="dxa"/>
            <w:shd w:val="clear" w:color="auto" w:fill="auto"/>
            <w:noWrap w:val="0"/>
            <w:vAlign w:val="center"/>
          </w:tcPr>
          <w:p>
            <w:pPr>
              <w:jc w:val="center"/>
              <w:rPr>
                <w:rFonts w:ascii="宋体" w:eastAsia="宋体"/>
                <w:color w:val="000000"/>
                <w:sz w:val="24"/>
                <w:szCs w:val="24"/>
              </w:rPr>
            </w:pPr>
            <w:r>
              <w:rPr>
                <w:rFonts w:hint="eastAsia"/>
                <w:color w:val="000000"/>
                <w:sz w:val="24"/>
                <w:szCs w:val="24"/>
              </w:rPr>
              <w:t>　</w:t>
            </w:r>
          </w:p>
        </w:tc>
        <w:tc>
          <w:tcPr>
            <w:tcW w:w="6744" w:type="dxa"/>
            <w:shd w:val="clear" w:color="000000" w:fill="FFFFFF"/>
            <w:noWrap w:val="0"/>
            <w:vAlign w:val="center"/>
          </w:tcPr>
          <w:p>
            <w:pPr>
              <w:rPr>
                <w:rFonts w:ascii="宋体" w:eastAsia="宋体"/>
                <w:color w:val="000000"/>
                <w:sz w:val="24"/>
                <w:szCs w:val="24"/>
              </w:rPr>
            </w:pPr>
            <w:r>
              <w:rPr>
                <w:rFonts w:hint="eastAsia"/>
                <w:color w:val="000000"/>
                <w:sz w:val="24"/>
                <w:szCs w:val="24"/>
              </w:rPr>
              <w:t>售后服务承诺由原厂和投标商共同盖章出具。原厂负责售后服务，并且当地有常驻工程师和技术人员随时提供技术支持服务。</w:t>
            </w:r>
          </w:p>
        </w:tc>
      </w:tr>
    </w:tbl>
    <w:p>
      <w:pPr>
        <w:rPr>
          <w:rFonts w:hint="eastAsia"/>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935183"/>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WY3ZDE3YzQ3MjRmZmIzN2ViODA3MDNmNDk0NTkifQ=="/>
  </w:docVars>
  <w:rsids>
    <w:rsidRoot w:val="00605308"/>
    <w:rsid w:val="0000711F"/>
    <w:rsid w:val="0001398F"/>
    <w:rsid w:val="0003230E"/>
    <w:rsid w:val="00033266"/>
    <w:rsid w:val="000370A4"/>
    <w:rsid w:val="00042FDE"/>
    <w:rsid w:val="00054959"/>
    <w:rsid w:val="00060E9B"/>
    <w:rsid w:val="00064CAE"/>
    <w:rsid w:val="00065ED1"/>
    <w:rsid w:val="00072573"/>
    <w:rsid w:val="00091623"/>
    <w:rsid w:val="00095387"/>
    <w:rsid w:val="000A1A98"/>
    <w:rsid w:val="000A4E90"/>
    <w:rsid w:val="000C3A6E"/>
    <w:rsid w:val="000D0B3B"/>
    <w:rsid w:val="000E00ED"/>
    <w:rsid w:val="000E15E8"/>
    <w:rsid w:val="000E46AC"/>
    <w:rsid w:val="000E7F75"/>
    <w:rsid w:val="000F085C"/>
    <w:rsid w:val="000F1DE7"/>
    <w:rsid w:val="000F74CF"/>
    <w:rsid w:val="0010709E"/>
    <w:rsid w:val="00107620"/>
    <w:rsid w:val="00136D44"/>
    <w:rsid w:val="00150783"/>
    <w:rsid w:val="001512F8"/>
    <w:rsid w:val="00153864"/>
    <w:rsid w:val="001712DA"/>
    <w:rsid w:val="00173AE0"/>
    <w:rsid w:val="00176553"/>
    <w:rsid w:val="00176AC9"/>
    <w:rsid w:val="0018009A"/>
    <w:rsid w:val="001810E9"/>
    <w:rsid w:val="00190A73"/>
    <w:rsid w:val="00197346"/>
    <w:rsid w:val="001B0964"/>
    <w:rsid w:val="001C1160"/>
    <w:rsid w:val="001D1838"/>
    <w:rsid w:val="001D2372"/>
    <w:rsid w:val="001E28AA"/>
    <w:rsid w:val="001E40DE"/>
    <w:rsid w:val="00204AD4"/>
    <w:rsid w:val="00211B3B"/>
    <w:rsid w:val="00221258"/>
    <w:rsid w:val="002374BF"/>
    <w:rsid w:val="00293189"/>
    <w:rsid w:val="002A2462"/>
    <w:rsid w:val="002A282D"/>
    <w:rsid w:val="002A6444"/>
    <w:rsid w:val="002A7FAB"/>
    <w:rsid w:val="002B5E7C"/>
    <w:rsid w:val="002B7D81"/>
    <w:rsid w:val="002D0729"/>
    <w:rsid w:val="002E44FE"/>
    <w:rsid w:val="002F108B"/>
    <w:rsid w:val="002F3D8E"/>
    <w:rsid w:val="003000E8"/>
    <w:rsid w:val="00312358"/>
    <w:rsid w:val="00315BA2"/>
    <w:rsid w:val="00315DAB"/>
    <w:rsid w:val="00330A18"/>
    <w:rsid w:val="00345941"/>
    <w:rsid w:val="003575C1"/>
    <w:rsid w:val="00361590"/>
    <w:rsid w:val="00361C59"/>
    <w:rsid w:val="00363748"/>
    <w:rsid w:val="003667A9"/>
    <w:rsid w:val="00367198"/>
    <w:rsid w:val="00371180"/>
    <w:rsid w:val="0039142B"/>
    <w:rsid w:val="003A31F2"/>
    <w:rsid w:val="003D47B8"/>
    <w:rsid w:val="003D4CFB"/>
    <w:rsid w:val="003E0FE2"/>
    <w:rsid w:val="003E635D"/>
    <w:rsid w:val="003F3CA9"/>
    <w:rsid w:val="003F4BB3"/>
    <w:rsid w:val="003F4F21"/>
    <w:rsid w:val="003F656F"/>
    <w:rsid w:val="00430C45"/>
    <w:rsid w:val="00435964"/>
    <w:rsid w:val="00435B37"/>
    <w:rsid w:val="0044140A"/>
    <w:rsid w:val="004414D7"/>
    <w:rsid w:val="00455F58"/>
    <w:rsid w:val="0046734E"/>
    <w:rsid w:val="00481B9E"/>
    <w:rsid w:val="00483806"/>
    <w:rsid w:val="00485A39"/>
    <w:rsid w:val="004913E7"/>
    <w:rsid w:val="004A0D44"/>
    <w:rsid w:val="004A24EA"/>
    <w:rsid w:val="004A28DD"/>
    <w:rsid w:val="004E38C4"/>
    <w:rsid w:val="004E7241"/>
    <w:rsid w:val="005037C5"/>
    <w:rsid w:val="005336F7"/>
    <w:rsid w:val="00533BA8"/>
    <w:rsid w:val="005349A9"/>
    <w:rsid w:val="00534ED8"/>
    <w:rsid w:val="00540507"/>
    <w:rsid w:val="00541B92"/>
    <w:rsid w:val="005608D0"/>
    <w:rsid w:val="005624C2"/>
    <w:rsid w:val="005978D4"/>
    <w:rsid w:val="005A4B49"/>
    <w:rsid w:val="005B7085"/>
    <w:rsid w:val="005C5ABF"/>
    <w:rsid w:val="005D4D54"/>
    <w:rsid w:val="005D7294"/>
    <w:rsid w:val="00605308"/>
    <w:rsid w:val="006055BD"/>
    <w:rsid w:val="00605BF6"/>
    <w:rsid w:val="006208A6"/>
    <w:rsid w:val="0063622D"/>
    <w:rsid w:val="00651B2B"/>
    <w:rsid w:val="00672509"/>
    <w:rsid w:val="00683F77"/>
    <w:rsid w:val="00686687"/>
    <w:rsid w:val="006A3B9E"/>
    <w:rsid w:val="006A6B14"/>
    <w:rsid w:val="006B167D"/>
    <w:rsid w:val="006B1E4F"/>
    <w:rsid w:val="006C65AC"/>
    <w:rsid w:val="007046B1"/>
    <w:rsid w:val="00726741"/>
    <w:rsid w:val="00740169"/>
    <w:rsid w:val="007503D1"/>
    <w:rsid w:val="00754CB6"/>
    <w:rsid w:val="007649A3"/>
    <w:rsid w:val="00765244"/>
    <w:rsid w:val="007713FE"/>
    <w:rsid w:val="007727F3"/>
    <w:rsid w:val="00774140"/>
    <w:rsid w:val="007743A6"/>
    <w:rsid w:val="007804A2"/>
    <w:rsid w:val="007938B4"/>
    <w:rsid w:val="00795DD4"/>
    <w:rsid w:val="00797CD9"/>
    <w:rsid w:val="007A152A"/>
    <w:rsid w:val="007B40B3"/>
    <w:rsid w:val="007D2352"/>
    <w:rsid w:val="007E173D"/>
    <w:rsid w:val="007E1BA1"/>
    <w:rsid w:val="007E3D8C"/>
    <w:rsid w:val="007E60B7"/>
    <w:rsid w:val="007F0949"/>
    <w:rsid w:val="007F1434"/>
    <w:rsid w:val="007F1814"/>
    <w:rsid w:val="007F44D4"/>
    <w:rsid w:val="007F7C2C"/>
    <w:rsid w:val="008037C8"/>
    <w:rsid w:val="0081113A"/>
    <w:rsid w:val="00811416"/>
    <w:rsid w:val="00816A3B"/>
    <w:rsid w:val="00820F0A"/>
    <w:rsid w:val="00831B6D"/>
    <w:rsid w:val="008337BA"/>
    <w:rsid w:val="0084558B"/>
    <w:rsid w:val="00845EC4"/>
    <w:rsid w:val="00852484"/>
    <w:rsid w:val="008535E5"/>
    <w:rsid w:val="00855C4F"/>
    <w:rsid w:val="00856DF1"/>
    <w:rsid w:val="008659C5"/>
    <w:rsid w:val="0087050C"/>
    <w:rsid w:val="008709EA"/>
    <w:rsid w:val="00881722"/>
    <w:rsid w:val="00883755"/>
    <w:rsid w:val="00883EA0"/>
    <w:rsid w:val="008A4A35"/>
    <w:rsid w:val="008A5104"/>
    <w:rsid w:val="008B2959"/>
    <w:rsid w:val="008B3A49"/>
    <w:rsid w:val="008E02C7"/>
    <w:rsid w:val="008E40B4"/>
    <w:rsid w:val="009019D7"/>
    <w:rsid w:val="00912EA4"/>
    <w:rsid w:val="0093134A"/>
    <w:rsid w:val="00943F2B"/>
    <w:rsid w:val="00966C30"/>
    <w:rsid w:val="009716D4"/>
    <w:rsid w:val="00975525"/>
    <w:rsid w:val="00985283"/>
    <w:rsid w:val="00996605"/>
    <w:rsid w:val="0099730F"/>
    <w:rsid w:val="009A5C48"/>
    <w:rsid w:val="009B780E"/>
    <w:rsid w:val="009C192B"/>
    <w:rsid w:val="009C38D1"/>
    <w:rsid w:val="009C67FC"/>
    <w:rsid w:val="009D00C2"/>
    <w:rsid w:val="009E214C"/>
    <w:rsid w:val="009E2E63"/>
    <w:rsid w:val="009F002E"/>
    <w:rsid w:val="009F0CFD"/>
    <w:rsid w:val="00A132E7"/>
    <w:rsid w:val="00A13F91"/>
    <w:rsid w:val="00A16A65"/>
    <w:rsid w:val="00A23FC6"/>
    <w:rsid w:val="00A2484F"/>
    <w:rsid w:val="00A31CDE"/>
    <w:rsid w:val="00A41AAA"/>
    <w:rsid w:val="00A42070"/>
    <w:rsid w:val="00A5000A"/>
    <w:rsid w:val="00A52936"/>
    <w:rsid w:val="00A56D25"/>
    <w:rsid w:val="00A76AED"/>
    <w:rsid w:val="00A80B4F"/>
    <w:rsid w:val="00A81D62"/>
    <w:rsid w:val="00A908A0"/>
    <w:rsid w:val="00AB06A1"/>
    <w:rsid w:val="00AB5D6F"/>
    <w:rsid w:val="00AB6BEB"/>
    <w:rsid w:val="00AC415E"/>
    <w:rsid w:val="00AC4ECD"/>
    <w:rsid w:val="00AD1BBB"/>
    <w:rsid w:val="00AD299B"/>
    <w:rsid w:val="00AD48BC"/>
    <w:rsid w:val="00AE60A3"/>
    <w:rsid w:val="00AF0032"/>
    <w:rsid w:val="00AF1A7B"/>
    <w:rsid w:val="00B05349"/>
    <w:rsid w:val="00B11D37"/>
    <w:rsid w:val="00B1631D"/>
    <w:rsid w:val="00B16F94"/>
    <w:rsid w:val="00B41675"/>
    <w:rsid w:val="00B4224A"/>
    <w:rsid w:val="00B606C9"/>
    <w:rsid w:val="00B7075C"/>
    <w:rsid w:val="00B80233"/>
    <w:rsid w:val="00B94A36"/>
    <w:rsid w:val="00B962A2"/>
    <w:rsid w:val="00BB0B1C"/>
    <w:rsid w:val="00BB4B9E"/>
    <w:rsid w:val="00BC2DF1"/>
    <w:rsid w:val="00BC355E"/>
    <w:rsid w:val="00BC3BB7"/>
    <w:rsid w:val="00BC4CD4"/>
    <w:rsid w:val="00BC6800"/>
    <w:rsid w:val="00BE0BEE"/>
    <w:rsid w:val="00BE24D3"/>
    <w:rsid w:val="00BE3A50"/>
    <w:rsid w:val="00BF440B"/>
    <w:rsid w:val="00C048A5"/>
    <w:rsid w:val="00C15884"/>
    <w:rsid w:val="00C15B3A"/>
    <w:rsid w:val="00C2385B"/>
    <w:rsid w:val="00C23953"/>
    <w:rsid w:val="00C24D00"/>
    <w:rsid w:val="00C31694"/>
    <w:rsid w:val="00C46F0F"/>
    <w:rsid w:val="00C4774B"/>
    <w:rsid w:val="00C54849"/>
    <w:rsid w:val="00C61C08"/>
    <w:rsid w:val="00C63239"/>
    <w:rsid w:val="00C659A4"/>
    <w:rsid w:val="00C66653"/>
    <w:rsid w:val="00C7452D"/>
    <w:rsid w:val="00C74EFA"/>
    <w:rsid w:val="00C75D2F"/>
    <w:rsid w:val="00C8182E"/>
    <w:rsid w:val="00C818A5"/>
    <w:rsid w:val="00C83B54"/>
    <w:rsid w:val="00C83E1A"/>
    <w:rsid w:val="00C9289B"/>
    <w:rsid w:val="00C95AA5"/>
    <w:rsid w:val="00CA25E2"/>
    <w:rsid w:val="00CA3053"/>
    <w:rsid w:val="00CB34FB"/>
    <w:rsid w:val="00CC0F25"/>
    <w:rsid w:val="00CC2E4C"/>
    <w:rsid w:val="00CC33A5"/>
    <w:rsid w:val="00CD1E1F"/>
    <w:rsid w:val="00CD3FDC"/>
    <w:rsid w:val="00CD6402"/>
    <w:rsid w:val="00D03C99"/>
    <w:rsid w:val="00D04782"/>
    <w:rsid w:val="00D05F22"/>
    <w:rsid w:val="00D10A75"/>
    <w:rsid w:val="00D10C9F"/>
    <w:rsid w:val="00D122BF"/>
    <w:rsid w:val="00D13AE3"/>
    <w:rsid w:val="00D35996"/>
    <w:rsid w:val="00D46DC9"/>
    <w:rsid w:val="00D52BF4"/>
    <w:rsid w:val="00D5724F"/>
    <w:rsid w:val="00D8138E"/>
    <w:rsid w:val="00D82B9B"/>
    <w:rsid w:val="00D85DAE"/>
    <w:rsid w:val="00D8653E"/>
    <w:rsid w:val="00D87ABA"/>
    <w:rsid w:val="00DA1FE5"/>
    <w:rsid w:val="00DA2F97"/>
    <w:rsid w:val="00DA4C2F"/>
    <w:rsid w:val="00DA5913"/>
    <w:rsid w:val="00DB7FD8"/>
    <w:rsid w:val="00DC2D9C"/>
    <w:rsid w:val="00DC694D"/>
    <w:rsid w:val="00DD10C1"/>
    <w:rsid w:val="00DD3422"/>
    <w:rsid w:val="00DD3F1E"/>
    <w:rsid w:val="00DE49EE"/>
    <w:rsid w:val="00DE6A41"/>
    <w:rsid w:val="00DE76B9"/>
    <w:rsid w:val="00DF637E"/>
    <w:rsid w:val="00E01130"/>
    <w:rsid w:val="00E16C09"/>
    <w:rsid w:val="00E23D72"/>
    <w:rsid w:val="00E40182"/>
    <w:rsid w:val="00E44AD8"/>
    <w:rsid w:val="00E532E2"/>
    <w:rsid w:val="00E62308"/>
    <w:rsid w:val="00E724E9"/>
    <w:rsid w:val="00E815C5"/>
    <w:rsid w:val="00E95960"/>
    <w:rsid w:val="00EA1072"/>
    <w:rsid w:val="00EA58B4"/>
    <w:rsid w:val="00EB2923"/>
    <w:rsid w:val="00EB44EF"/>
    <w:rsid w:val="00EC18B9"/>
    <w:rsid w:val="00ED48E0"/>
    <w:rsid w:val="00EE1912"/>
    <w:rsid w:val="00EE2BD1"/>
    <w:rsid w:val="00EE67E7"/>
    <w:rsid w:val="00EF0779"/>
    <w:rsid w:val="00EF619F"/>
    <w:rsid w:val="00F03191"/>
    <w:rsid w:val="00F043C9"/>
    <w:rsid w:val="00F27328"/>
    <w:rsid w:val="00F4145B"/>
    <w:rsid w:val="00F5782F"/>
    <w:rsid w:val="00F64BBC"/>
    <w:rsid w:val="00F6537B"/>
    <w:rsid w:val="00F767AF"/>
    <w:rsid w:val="00F93428"/>
    <w:rsid w:val="00FA15A5"/>
    <w:rsid w:val="00FA4F6C"/>
    <w:rsid w:val="00FB052E"/>
    <w:rsid w:val="00FB2AD7"/>
    <w:rsid w:val="00FB525E"/>
    <w:rsid w:val="00FE35B6"/>
    <w:rsid w:val="00FE6C84"/>
    <w:rsid w:val="00FF02E9"/>
    <w:rsid w:val="00FF2905"/>
    <w:rsid w:val="00FF4CB9"/>
    <w:rsid w:val="01EA1ECB"/>
    <w:rsid w:val="045773A4"/>
    <w:rsid w:val="31DB16A7"/>
    <w:rsid w:val="336F39EE"/>
    <w:rsid w:val="384528A8"/>
    <w:rsid w:val="42DF56BD"/>
    <w:rsid w:val="48FB5B78"/>
    <w:rsid w:val="5A376315"/>
    <w:rsid w:val="5D090531"/>
    <w:rsid w:val="5D647EF4"/>
    <w:rsid w:val="63822E4C"/>
    <w:rsid w:val="68D463A6"/>
    <w:rsid w:val="723F46D3"/>
    <w:rsid w:val="73750B73"/>
    <w:rsid w:val="78087863"/>
    <w:rsid w:val="7B7F0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qFormat/>
    <w:uiPriority w:val="99"/>
    <w:pPr>
      <w:jc w:val="left"/>
    </w:pPr>
  </w:style>
  <w:style w:type="paragraph" w:styleId="3">
    <w:name w:val="Body Text"/>
    <w:basedOn w:val="1"/>
    <w:link w:val="21"/>
    <w:autoRedefine/>
    <w:semiHidden/>
    <w:unhideWhenUsed/>
    <w:qFormat/>
    <w:uiPriority w:val="99"/>
    <w:pPr>
      <w:spacing w:after="120"/>
    </w:pPr>
  </w:style>
  <w:style w:type="paragraph" w:styleId="4">
    <w:name w:val="Body Text Indent"/>
    <w:basedOn w:val="1"/>
    <w:link w:val="18"/>
    <w:autoRedefine/>
    <w:qFormat/>
    <w:uiPriority w:val="99"/>
    <w:pPr>
      <w:spacing w:line="360" w:lineRule="auto"/>
      <w:ind w:left="420" w:firstLine="420"/>
    </w:pPr>
    <w:rPr>
      <w:rFonts w:ascii="宋体" w:hAnsi="宋体" w:cs="宋体"/>
      <w:sz w:val="24"/>
      <w:szCs w:val="24"/>
      <w:shd w:val="pct10" w:color="auto" w:fill="FFFFFF"/>
    </w:rPr>
  </w:style>
  <w:style w:type="paragraph" w:styleId="5">
    <w:name w:val="List 2"/>
    <w:basedOn w:val="1"/>
    <w:autoRedefine/>
    <w:qFormat/>
    <w:uiPriority w:val="0"/>
    <w:pPr>
      <w:ind w:left="100" w:leftChars="200" w:hanging="200" w:hangingChars="200"/>
      <w:contextualSpacing/>
    </w:pPr>
  </w:style>
  <w:style w:type="paragraph" w:styleId="6">
    <w:name w:val="Balloon Text"/>
    <w:basedOn w:val="1"/>
    <w:link w:val="17"/>
    <w:autoRedefine/>
    <w:semiHidden/>
    <w:qFormat/>
    <w:uiPriority w:val="99"/>
    <w:rPr>
      <w:sz w:val="18"/>
      <w:szCs w:val="18"/>
    </w:rPr>
  </w:style>
  <w:style w:type="paragraph" w:styleId="7">
    <w:name w:val="footer"/>
    <w:basedOn w:val="1"/>
    <w:link w:val="19"/>
    <w:autoRedefine/>
    <w:unhideWhenUsed/>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styleId="13">
    <w:name w:val="annotation reference"/>
    <w:basedOn w:val="11"/>
    <w:autoRedefine/>
    <w:semiHidden/>
    <w:qFormat/>
    <w:uiPriority w:val="99"/>
    <w:rPr>
      <w:sz w:val="21"/>
      <w:szCs w:val="21"/>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8"/>
    <w:qFormat/>
    <w:locked/>
    <w:uiPriority w:val="99"/>
    <w:rPr>
      <w:rFonts w:ascii="Times New Roman" w:hAnsi="Times New Roman" w:eastAsia="宋体" w:cs="Times New Roman"/>
      <w:sz w:val="18"/>
      <w:szCs w:val="18"/>
    </w:rPr>
  </w:style>
  <w:style w:type="character" w:customStyle="1" w:styleId="16">
    <w:name w:val="批注文字 字符"/>
    <w:basedOn w:val="11"/>
    <w:link w:val="2"/>
    <w:autoRedefine/>
    <w:semiHidden/>
    <w:locked/>
    <w:uiPriority w:val="99"/>
    <w:rPr>
      <w:rFonts w:ascii="Times New Roman" w:hAnsi="Times New Roman" w:eastAsia="宋体" w:cs="Times New Roman"/>
      <w:sz w:val="24"/>
      <w:szCs w:val="24"/>
    </w:rPr>
  </w:style>
  <w:style w:type="character" w:customStyle="1" w:styleId="17">
    <w:name w:val="批注框文本 字符"/>
    <w:basedOn w:val="11"/>
    <w:link w:val="6"/>
    <w:autoRedefine/>
    <w:semiHidden/>
    <w:qFormat/>
    <w:locked/>
    <w:uiPriority w:val="99"/>
    <w:rPr>
      <w:rFonts w:ascii="Times New Roman" w:hAnsi="Times New Roman" w:eastAsia="宋体" w:cs="Times New Roman"/>
      <w:sz w:val="18"/>
      <w:szCs w:val="18"/>
    </w:rPr>
  </w:style>
  <w:style w:type="character" w:customStyle="1" w:styleId="18">
    <w:name w:val="正文文本缩进 字符"/>
    <w:basedOn w:val="11"/>
    <w:link w:val="4"/>
    <w:autoRedefine/>
    <w:qFormat/>
    <w:locked/>
    <w:uiPriority w:val="99"/>
    <w:rPr>
      <w:rFonts w:ascii="宋体" w:hAnsi="宋体" w:eastAsia="宋体" w:cs="宋体"/>
      <w:sz w:val="24"/>
      <w:szCs w:val="24"/>
    </w:rPr>
  </w:style>
  <w:style w:type="character" w:customStyle="1" w:styleId="19">
    <w:name w:val="页脚 字符"/>
    <w:basedOn w:val="11"/>
    <w:link w:val="7"/>
    <w:autoRedefine/>
    <w:qFormat/>
    <w:uiPriority w:val="99"/>
    <w:rPr>
      <w:rFonts w:ascii="Times New Roman" w:hAnsi="Times New Roman"/>
      <w:sz w:val="18"/>
      <w:szCs w:val="18"/>
    </w:rPr>
  </w:style>
  <w:style w:type="character" w:customStyle="1" w:styleId="20">
    <w:name w:val="font41"/>
    <w:autoRedefine/>
    <w:qFormat/>
    <w:uiPriority w:val="0"/>
    <w:rPr>
      <w:rFonts w:hint="eastAsia" w:ascii="宋体" w:hAnsi="宋体" w:eastAsia="宋体" w:cs="宋体"/>
      <w:color w:val="000000"/>
      <w:sz w:val="24"/>
      <w:szCs w:val="24"/>
      <w:u w:val="none"/>
    </w:rPr>
  </w:style>
  <w:style w:type="character" w:customStyle="1" w:styleId="21">
    <w:name w:val="正文文本 字符"/>
    <w:basedOn w:val="11"/>
    <w:link w:val="3"/>
    <w:autoRedefine/>
    <w:semiHidden/>
    <w:qFormat/>
    <w:uiPriority w:val="99"/>
    <w:rPr>
      <w:rFonts w:ascii="Times New Roman" w:hAnsi="Times New Roman"/>
      <w:szCs w:val="21"/>
    </w:rPr>
  </w:style>
  <w:style w:type="paragraph" w:customStyle="1" w:styleId="22">
    <w:name w:val="列表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EFBDE-C4AC-48FD-90A2-CC5FF3D71A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62</Words>
  <Characters>358</Characters>
  <Lines>2</Lines>
  <Paragraphs>1</Paragraphs>
  <TotalTime>0</TotalTime>
  <ScaleCrop>false</ScaleCrop>
  <LinksUpToDate>false</LinksUpToDate>
  <CharactersWithSpaces>419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2021-10-09T07:57:00Z</dcterms:created>
  <dc:creator>lenovo</dc:creator>
  <cp:lastModifiedBy>WPS_1662512269</cp:lastModifiedBy>
  <cp:lastPrinted>2022-11-14T07:06:00Z</cp:lastPrinted>
  <dcterms:modified xsi:type="dcterms:W3CDTF">2024-05-13T08:16:00Z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AF902219E7454FA29FDEB0EED3EB8C91_13</vt:lpwstr>
  </property>
</Properties>
</file>