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9A1" w:rsidRDefault="005839A1">
      <w:pPr>
        <w:tabs>
          <w:tab w:val="left" w:pos="3360"/>
        </w:tabs>
        <w:spacing w:line="360" w:lineRule="auto"/>
        <w:rPr>
          <w:rFonts w:ascii="time" w:hAnsi="time" w:hint="eastAsia"/>
          <w:sz w:val="24"/>
        </w:rPr>
      </w:pPr>
      <w:bookmarkStart w:id="0" w:name="_Toc144974482"/>
      <w:bookmarkStart w:id="1" w:name="_Toc152045514"/>
      <w:bookmarkStart w:id="2" w:name="_Toc2312"/>
      <w:bookmarkStart w:id="3" w:name="_Toc300834931"/>
      <w:bookmarkStart w:id="4" w:name="_Toc352691457"/>
      <w:bookmarkStart w:id="5" w:name="_Toc152042290"/>
      <w:bookmarkStart w:id="6" w:name="_Toc247527537"/>
      <w:bookmarkStart w:id="7" w:name="_Toc369531499"/>
      <w:bookmarkStart w:id="8" w:name="_Toc361508564"/>
      <w:bookmarkStart w:id="9" w:name="_Toc384308189"/>
      <w:bookmarkStart w:id="10" w:name="_Toc247513936"/>
      <w:bookmarkStart w:id="11" w:name="_GoBack"/>
      <w:bookmarkEnd w:id="11"/>
    </w:p>
    <w:bookmarkEnd w:id="0"/>
    <w:bookmarkEnd w:id="1"/>
    <w:bookmarkEnd w:id="2"/>
    <w:bookmarkEnd w:id="3"/>
    <w:bookmarkEnd w:id="4"/>
    <w:bookmarkEnd w:id="5"/>
    <w:bookmarkEnd w:id="6"/>
    <w:bookmarkEnd w:id="7"/>
    <w:bookmarkEnd w:id="8"/>
    <w:bookmarkEnd w:id="9"/>
    <w:bookmarkEnd w:id="10"/>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r>
        <w:rPr>
          <w:rFonts w:hint="eastAsia"/>
          <w:sz w:val="28"/>
          <w:szCs w:val="28"/>
        </w:rPr>
        <w:t>响应</w:t>
      </w:r>
      <w:r>
        <w:rPr>
          <w:sz w:val="28"/>
          <w:szCs w:val="28"/>
        </w:rPr>
        <w:t>书包括：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主要技术性能参数表（附件</w:t>
      </w:r>
      <w:r>
        <w:rPr>
          <w:rFonts w:ascii="宋体" w:hAnsi="宋体" w:hint="eastAsia"/>
          <w:sz w:val="28"/>
          <w:szCs w:val="28"/>
        </w:rPr>
        <w:t>3</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技术指标参数响应偏离表（附件</w:t>
      </w:r>
      <w:r>
        <w:rPr>
          <w:rFonts w:ascii="宋体" w:hAnsi="宋体" w:hint="eastAsia"/>
          <w:sz w:val="28"/>
          <w:szCs w:val="28"/>
        </w:rPr>
        <w:t>4</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主要商务条款响应偏离表（附件</w:t>
      </w:r>
      <w:r>
        <w:rPr>
          <w:rFonts w:ascii="宋体" w:hAnsi="宋体" w:hint="eastAsia"/>
          <w:sz w:val="28"/>
          <w:szCs w:val="28"/>
        </w:rPr>
        <w:t>5</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交货清单（附件</w:t>
      </w:r>
      <w:r>
        <w:rPr>
          <w:rFonts w:ascii="宋体" w:hAnsi="宋体" w:hint="eastAsia"/>
          <w:sz w:val="28"/>
          <w:szCs w:val="28"/>
        </w:rPr>
        <w:t>6</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方售后服务承诺（附件</w:t>
      </w:r>
      <w:r>
        <w:rPr>
          <w:rFonts w:ascii="宋体" w:hAnsi="宋体" w:hint="eastAsia"/>
          <w:sz w:val="28"/>
          <w:szCs w:val="28"/>
        </w:rPr>
        <w:t>7</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w:t>
      </w:r>
      <w:r>
        <w:rPr>
          <w:rFonts w:ascii="宋体" w:eastAsia="宋体" w:hAnsi="宋体" w:hint="eastAsia"/>
          <w:sz w:val="28"/>
          <w:szCs w:val="28"/>
        </w:rPr>
        <w:lastRenderedPageBreak/>
        <w:t>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作出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3.4、采购小组将根据质量和服务均能满足采购文件实质性响应要求且报价最低的原则确定成交供应商。实质性响应采购文件要求是指供应商满足资格性要求、符合性要求的响应。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4.4、报价有效期、交货期及付款方式任一条款存在偏离。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4.7、响应文件中有任一标注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w:t>
      </w:r>
      <w:r>
        <w:rPr>
          <w:rFonts w:ascii="宋体" w:eastAsia="宋体" w:hAnsi="宋体" w:hint="eastAsia"/>
          <w:sz w:val="28"/>
          <w:szCs w:val="28"/>
        </w:rPr>
        <w:lastRenderedPageBreak/>
        <w:t>持资料的。</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5839A1">
      <w:pPr>
        <w:pStyle w:val="ifb-1"/>
        <w:autoSpaceDE w:val="0"/>
        <w:autoSpaceDN w:val="0"/>
        <w:spacing w:line="360" w:lineRule="auto"/>
        <w:jc w:val="left"/>
        <w:rPr>
          <w:rFonts w:ascii="宋体" w:eastAsia="宋体" w:hAnsi="宋体"/>
          <w:sz w:val="24"/>
          <w:szCs w:val="24"/>
        </w:rPr>
      </w:pP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pPr>
        <w:pStyle w:val="ifb-1"/>
        <w:autoSpaceDE w:val="0"/>
        <w:autoSpaceDN w:val="0"/>
        <w:spacing w:line="360" w:lineRule="auto"/>
        <w:ind w:leftChars="202" w:left="424" w:firstLine="0"/>
        <w:jc w:val="left"/>
        <w:rPr>
          <w:rFonts w:ascii="宋体" w:eastAsia="宋体" w:hAnsi="宋体"/>
          <w:sz w:val="24"/>
          <w:szCs w:val="24"/>
        </w:rPr>
      </w:pPr>
      <w:r>
        <w:rPr>
          <w:rFonts w:ascii="宋体" w:eastAsia="宋体" w:hAnsi="宋体" w:hint="eastAsia"/>
          <w:sz w:val="28"/>
          <w:szCs w:val="28"/>
        </w:rPr>
        <w:t>5.2、最低报价不是被授予合同的保证。</w:t>
      </w:r>
    </w:p>
    <w:p w:rsidR="00E100D1" w:rsidRPr="00444848" w:rsidRDefault="00E100D1" w:rsidP="00444848">
      <w:pPr>
        <w:pStyle w:val="bds"/>
        <w:spacing w:line="360" w:lineRule="auto"/>
        <w:jc w:val="both"/>
        <w:rPr>
          <w:rFonts w:ascii="宋体" w:eastAsia="宋体" w:hAnsi="宋体"/>
        </w:rPr>
      </w:pP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t>第三章</w:t>
      </w:r>
      <w:r w:rsidR="00EF5A74">
        <w:rPr>
          <w:rFonts w:ascii="宋体" w:eastAsia="宋体" w:hAnsi="宋体" w:hint="eastAsia"/>
        </w:rPr>
        <w:t>采购需求一览表及技术规格</w:t>
      </w:r>
    </w:p>
    <w:p w:rsidR="00EB7BFE" w:rsidRPr="001055E9" w:rsidRDefault="00EB7BFE" w:rsidP="00EB7BFE">
      <w:pPr>
        <w:spacing w:before="62" w:line="360" w:lineRule="auto"/>
        <w:rPr>
          <w:rFonts w:ascii="宋体" w:hAnsi="宋体"/>
          <w:b/>
          <w:bCs/>
          <w:sz w:val="28"/>
          <w:szCs w:val="28"/>
        </w:rPr>
      </w:pPr>
      <w:bookmarkStart w:id="12" w:name="_Toc390713970"/>
      <w:bookmarkStart w:id="13" w:name="_Toc435540982"/>
      <w:bookmarkStart w:id="14" w:name="_Toc240432233"/>
      <w:bookmarkStart w:id="15" w:name="_Toc285612604"/>
      <w:r w:rsidRPr="001055E9">
        <w:rPr>
          <w:rFonts w:ascii="宋体" w:hAnsi="宋体" w:hint="eastAsia"/>
          <w:b/>
          <w:bCs/>
          <w:sz w:val="28"/>
          <w:szCs w:val="28"/>
        </w:rPr>
        <w:t>一、技术参数</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0"/>
        <w:gridCol w:w="1423"/>
        <w:gridCol w:w="7537"/>
      </w:tblGrid>
      <w:tr w:rsidR="00444848" w:rsidRPr="00444848" w:rsidTr="00444848">
        <w:trPr>
          <w:trHeight w:val="330"/>
        </w:trPr>
        <w:tc>
          <w:tcPr>
            <w:tcW w:w="840" w:type="dxa"/>
            <w:shd w:val="clear" w:color="auto" w:fill="FFFFFF" w:themeFill="background1"/>
            <w:noWrap/>
            <w:vAlign w:val="center"/>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序号</w:t>
            </w:r>
          </w:p>
        </w:tc>
        <w:tc>
          <w:tcPr>
            <w:tcW w:w="1423" w:type="dxa"/>
            <w:shd w:val="clear" w:color="auto" w:fill="FFFFFF" w:themeFill="background1"/>
            <w:noWrap/>
            <w:vAlign w:val="center"/>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产品名称</w:t>
            </w:r>
          </w:p>
        </w:tc>
        <w:tc>
          <w:tcPr>
            <w:tcW w:w="7537" w:type="dxa"/>
            <w:shd w:val="clear" w:color="auto" w:fill="FFFFFF" w:themeFill="background1"/>
            <w:noWrap/>
            <w:vAlign w:val="center"/>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技术参数</w:t>
            </w:r>
          </w:p>
        </w:tc>
      </w:tr>
      <w:tr w:rsidR="00444848" w:rsidRPr="00444848" w:rsidTr="00444848">
        <w:trPr>
          <w:trHeight w:val="1980"/>
        </w:trPr>
        <w:tc>
          <w:tcPr>
            <w:tcW w:w="840" w:type="dxa"/>
            <w:shd w:val="clear" w:color="auto" w:fill="FFFFFF" w:themeFill="background1"/>
            <w:vAlign w:val="center"/>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1</w:t>
            </w:r>
          </w:p>
        </w:tc>
        <w:tc>
          <w:tcPr>
            <w:tcW w:w="1423" w:type="dxa"/>
            <w:shd w:val="clear" w:color="auto" w:fill="FFFFFF" w:themeFill="background1"/>
            <w:vAlign w:val="center"/>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汇聚交换机</w:t>
            </w:r>
          </w:p>
        </w:tc>
        <w:tc>
          <w:tcPr>
            <w:tcW w:w="7537" w:type="dxa"/>
            <w:shd w:val="clear" w:color="auto" w:fill="FFFFFF" w:themeFill="background1"/>
            <w:vAlign w:val="center"/>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本次配置交换机≥2台；校园网同款品牌锐捷；</w:t>
            </w:r>
            <w:r w:rsidRPr="00444848">
              <w:rPr>
                <w:rFonts w:ascii="宋体" w:hAnsi="宋体" w:hint="eastAsia"/>
                <w:sz w:val="28"/>
                <w:szCs w:val="28"/>
              </w:rPr>
              <w:br/>
              <w:t>基本参数</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包转发率：≥222M</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端口参数</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端口描述：≥28口SFP接口(SFP为千兆/百兆口)，8个复用的10/100/1000M自适应电口，4个1G/10G SFP+光口，2个扩展槽，2个模块化电源插槽</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功能特性</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VLAN：支持4K 802.1Q VLAN</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网络协议：IPv4/IPv6双协议</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组播管理：支持IGMP v1,v2,v3,IGMP 代理</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lastRenderedPageBreak/>
              <w:t>网络管理：SNMPv1/v2c/v3、CLI(Telnet/Console)、RMON(1,2,4,9)、SSH、Syslog、NTP/SNTP、SNMP over IPv6、IPv6 MIB support for SNMP 、SSHv6、Telnet v6、FTP/TFTP v6、DNS v6、NTP for v6、Traceroute v6</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安全管理：支持IP、MAC、端口三元素绑定</w:t>
            </w:r>
          </w:p>
        </w:tc>
      </w:tr>
      <w:tr w:rsidR="00444848" w:rsidRPr="00444848" w:rsidTr="00444848">
        <w:trPr>
          <w:trHeight w:val="4620"/>
        </w:trPr>
        <w:tc>
          <w:tcPr>
            <w:tcW w:w="840" w:type="dxa"/>
            <w:shd w:val="clear" w:color="auto" w:fill="FFFFFF" w:themeFill="background1"/>
            <w:vAlign w:val="center"/>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lastRenderedPageBreak/>
              <w:t>2</w:t>
            </w:r>
          </w:p>
        </w:tc>
        <w:tc>
          <w:tcPr>
            <w:tcW w:w="1423" w:type="dxa"/>
            <w:shd w:val="clear" w:color="auto" w:fill="FFFFFF" w:themeFill="background1"/>
            <w:vAlign w:val="center"/>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接入交换机</w:t>
            </w:r>
          </w:p>
        </w:tc>
        <w:tc>
          <w:tcPr>
            <w:tcW w:w="7537" w:type="dxa"/>
            <w:shd w:val="clear" w:color="auto" w:fill="FFFFFF" w:themeFill="background1"/>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本次配置交换机≥4台；校园网同款品牌锐捷；</w:t>
            </w:r>
            <w:r w:rsidRPr="00444848">
              <w:rPr>
                <w:rFonts w:ascii="宋体" w:hAnsi="宋体"/>
                <w:sz w:val="28"/>
                <w:szCs w:val="28"/>
              </w:rPr>
              <w:tab/>
            </w:r>
            <w:r w:rsidRPr="00444848">
              <w:rPr>
                <w:rFonts w:ascii="宋体" w:hAnsi="宋体" w:hint="eastAsia"/>
                <w:sz w:val="28"/>
                <w:szCs w:val="28"/>
              </w:rPr>
              <w:br/>
              <w:t>基本参数</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包转发率：≥207Mpps</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端口描述：≥48个10/100/1000M自适应电口，≥4个1G/10G SFP+光口</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功能特性</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VLAN：支持4K 802.1Q VLAN</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QOS：支持端口流量识别，支持端口流量限速，支持802.1p/DSCP/TOS流量分类，每端口8个优先级队列，支持SP、WRR、SP+WRR、RED/WRED队列调度</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组播管理：支持IGMP v1,v2,v3,IGMP 代理（可能支持，具体需参考最新官方文档）</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网络管理：SNMPv1/v2c/v3、CLI(Telnet/Console)、RMON(1,2,3,9)、SSH、Syslog、NTP/SNTP、Web</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 xml:space="preserve">安全管理：支持IP、MAC、端口三元素绑定，支持IPv6、MAC、端口三元素绑定，过滤非法的MAC地址，支持基于端口和MAC的802.1x，支持MAB，支持Portal 和Portal 2.0认证，支持ARP-Check，支持DAI，支持ARP报文限速，支持防网关ARP欺骗，支持广播风暴抑制 </w:t>
            </w:r>
          </w:p>
        </w:tc>
      </w:tr>
      <w:tr w:rsidR="00444848" w:rsidRPr="00444848" w:rsidTr="00444848">
        <w:trPr>
          <w:trHeight w:val="3960"/>
        </w:trPr>
        <w:tc>
          <w:tcPr>
            <w:tcW w:w="840" w:type="dxa"/>
            <w:shd w:val="clear" w:color="auto" w:fill="FFFFFF" w:themeFill="background1"/>
            <w:vAlign w:val="center"/>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lastRenderedPageBreak/>
              <w:t>3</w:t>
            </w:r>
          </w:p>
        </w:tc>
        <w:tc>
          <w:tcPr>
            <w:tcW w:w="1423" w:type="dxa"/>
            <w:shd w:val="clear" w:color="auto" w:fill="FFFFFF" w:themeFill="background1"/>
            <w:vAlign w:val="center"/>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光纤建设</w:t>
            </w:r>
          </w:p>
        </w:tc>
        <w:tc>
          <w:tcPr>
            <w:tcW w:w="7537" w:type="dxa"/>
            <w:shd w:val="clear" w:color="auto" w:fill="FFFFFF" w:themeFill="background1"/>
          </w:tcPr>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为保证整个系统的稳定性和整个系统的质保以及以后对系统的维护的方便，网络线缆、光纤、光纤配线架以及连接器及接插件等均采用同一品牌产品。</w:t>
            </w:r>
          </w:p>
          <w:p w:rsidR="00444848" w:rsidRPr="00444848" w:rsidRDefault="00444848" w:rsidP="00444848">
            <w:pPr>
              <w:spacing w:before="62" w:line="360" w:lineRule="auto"/>
              <w:rPr>
                <w:rFonts w:ascii="宋体" w:hAnsi="宋体"/>
                <w:b/>
                <w:bCs/>
                <w:sz w:val="28"/>
                <w:szCs w:val="28"/>
              </w:rPr>
            </w:pPr>
            <w:r w:rsidRPr="00444848">
              <w:rPr>
                <w:rFonts w:ascii="宋体" w:hAnsi="宋体" w:hint="eastAsia"/>
                <w:b/>
                <w:bCs/>
                <w:sz w:val="28"/>
                <w:szCs w:val="28"/>
              </w:rPr>
              <w:t>24芯单模万兆光缆要求如下：</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光缆符合YD/T 769标准要求</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优质纤芯置于松套管内、优良的光学性能</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中心套管内填充阻水材料、利于保护纤芯</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PSP双面涂塑钢带，提高光缆的抗渗透能力</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两边对称平行钢丝，保证光缆的抗拉强度</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PE护套，良好的机械物理特性和环境特性</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纤芯规格：9/125um</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模场直径：9±0.5um</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包层直径：125±0.7um</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衰 减：≤0.36(dB/km，@1310nm)  ≤0.22dB(dB/km，@1550nm)</w:t>
            </w:r>
          </w:p>
          <w:p w:rsidR="00444848" w:rsidRPr="00444848" w:rsidRDefault="00444848" w:rsidP="00444848">
            <w:pPr>
              <w:spacing w:before="62" w:line="360" w:lineRule="auto"/>
              <w:rPr>
                <w:rFonts w:ascii="宋体" w:hAnsi="宋体"/>
                <w:sz w:val="28"/>
                <w:szCs w:val="28"/>
              </w:rPr>
            </w:pPr>
            <w:r w:rsidRPr="00444848">
              <w:rPr>
                <w:rFonts w:ascii="宋体" w:hAnsi="宋体" w:hint="eastAsia"/>
                <w:sz w:val="28"/>
                <w:szCs w:val="28"/>
              </w:rPr>
              <w:t>光纤铺设按照520米预估，各投标公司合理评估报价，此项不做增补，按照实际情况完成光纤铺设及施工。</w:t>
            </w:r>
          </w:p>
        </w:tc>
      </w:tr>
    </w:tbl>
    <w:p w:rsidR="00E03D22" w:rsidRPr="00444848" w:rsidRDefault="00E03D22" w:rsidP="00E03D22">
      <w:pPr>
        <w:spacing w:before="62" w:line="360" w:lineRule="auto"/>
        <w:rPr>
          <w:rFonts w:ascii="宋体" w:hAnsi="宋体"/>
          <w:sz w:val="28"/>
          <w:szCs w:val="28"/>
        </w:rPr>
      </w:pPr>
    </w:p>
    <w:p w:rsidR="00EB7BFE" w:rsidRDefault="00EB7BFE" w:rsidP="00EB7BFE">
      <w:pPr>
        <w:spacing w:before="62" w:line="360" w:lineRule="auto"/>
        <w:rPr>
          <w:rFonts w:ascii="宋体" w:hAnsi="宋体"/>
          <w:sz w:val="28"/>
          <w:szCs w:val="28"/>
        </w:rPr>
      </w:pPr>
    </w:p>
    <w:p w:rsidR="00397082" w:rsidRDefault="00397082" w:rsidP="00EB7BFE">
      <w:pPr>
        <w:spacing w:before="62" w:line="360" w:lineRule="auto"/>
        <w:rPr>
          <w:rFonts w:ascii="宋体" w:hAnsi="宋体"/>
          <w:sz w:val="28"/>
          <w:szCs w:val="28"/>
        </w:rPr>
      </w:pPr>
    </w:p>
    <w:p w:rsidR="00397082" w:rsidRPr="00E03D22" w:rsidRDefault="00397082"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7B26F2">
      <w:pPr>
        <w:spacing w:before="62" w:line="360" w:lineRule="auto"/>
        <w:rPr>
          <w:rFonts w:ascii="宋体" w:hAnsi="宋体"/>
          <w:sz w:val="28"/>
          <w:szCs w:val="28"/>
        </w:rPr>
      </w:pPr>
    </w:p>
    <w:p w:rsidR="007B26F2" w:rsidRPr="007F6CE1" w:rsidRDefault="00EB7BFE" w:rsidP="007B26F2">
      <w:pPr>
        <w:spacing w:before="62" w:line="360" w:lineRule="auto"/>
        <w:rPr>
          <w:rFonts w:ascii="宋体" w:hAnsi="宋体"/>
          <w:b/>
          <w:sz w:val="28"/>
          <w:szCs w:val="28"/>
        </w:rPr>
      </w:pPr>
      <w:r w:rsidRPr="001055E9">
        <w:rPr>
          <w:rFonts w:ascii="宋体" w:hAnsi="宋体" w:hint="eastAsia"/>
          <w:b/>
          <w:sz w:val="28"/>
          <w:szCs w:val="28"/>
        </w:rPr>
        <w:lastRenderedPageBreak/>
        <w:t>二</w:t>
      </w:r>
      <w:r w:rsidR="007B26F2" w:rsidRPr="001055E9">
        <w:rPr>
          <w:rFonts w:ascii="宋体" w:hAnsi="宋体" w:hint="eastAsia"/>
          <w:b/>
          <w:sz w:val="28"/>
          <w:szCs w:val="28"/>
        </w:rPr>
        <w:t>、</w:t>
      </w:r>
      <w:r w:rsidR="007B26F2" w:rsidRPr="007F6CE1">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9"/>
        <w:gridCol w:w="1245"/>
        <w:gridCol w:w="566"/>
        <w:gridCol w:w="710"/>
      </w:tblGrid>
      <w:tr w:rsidR="007B26F2" w:rsidRPr="007F6CE1" w:rsidTr="00397082">
        <w:trPr>
          <w:trHeight w:val="361"/>
        </w:trPr>
        <w:tc>
          <w:tcPr>
            <w:tcW w:w="7049" w:type="dxa"/>
            <w:vMerge w:val="restart"/>
            <w:tcBorders>
              <w:top w:val="single" w:sz="2" w:space="0" w:color="000000"/>
              <w:bottom w:val="nil"/>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审查项目</w:t>
            </w:r>
          </w:p>
        </w:tc>
        <w:tc>
          <w:tcPr>
            <w:tcW w:w="1811" w:type="dxa"/>
            <w:gridSpan w:val="2"/>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是否合格</w:t>
            </w:r>
          </w:p>
        </w:tc>
        <w:tc>
          <w:tcPr>
            <w:tcW w:w="710" w:type="dxa"/>
            <w:vMerge w:val="restart"/>
            <w:tcBorders>
              <w:top w:val="single" w:sz="2" w:space="0" w:color="000000"/>
              <w:bottom w:val="nil"/>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说明</w:t>
            </w:r>
          </w:p>
        </w:tc>
      </w:tr>
      <w:tr w:rsidR="007B26F2" w:rsidRPr="007F6CE1" w:rsidTr="00397082">
        <w:trPr>
          <w:trHeight w:val="358"/>
        </w:trPr>
        <w:tc>
          <w:tcPr>
            <w:tcW w:w="7049" w:type="dxa"/>
            <w:vMerge/>
            <w:tcBorders>
              <w:top w:val="nil"/>
              <w:bottom w:val="single" w:sz="2" w:space="0" w:color="000000"/>
            </w:tcBorders>
          </w:tcPr>
          <w:p w:rsidR="007B26F2" w:rsidRPr="007F6CE1" w:rsidRDefault="007B26F2" w:rsidP="007B26F2">
            <w:pPr>
              <w:spacing w:before="62" w:line="360" w:lineRule="auto"/>
              <w:rPr>
                <w:rFonts w:ascii="宋体" w:hAnsi="宋体"/>
                <w:sz w:val="28"/>
                <w:szCs w:val="28"/>
              </w:rPr>
            </w:pP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供应商</w:t>
            </w: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w:t>
            </w:r>
          </w:p>
        </w:tc>
        <w:tc>
          <w:tcPr>
            <w:tcW w:w="710" w:type="dxa"/>
            <w:vMerge/>
            <w:tcBorders>
              <w:top w:val="nil"/>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一、资格性审查内容</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1. 具有独立承担民事责任的能力，提供营业执照或事业单位法人证书</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2</w:t>
            </w:r>
            <w:r w:rsidR="007B26F2" w:rsidRPr="007F6CE1">
              <w:rPr>
                <w:rFonts w:ascii="宋体" w:hAnsi="宋体"/>
                <w:sz w:val="28"/>
                <w:szCs w:val="28"/>
              </w:rPr>
              <w:t>. 近 3 年经营活动中无重大违法记录，在国家和军队采购网无不良记录；</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575"/>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2</w:t>
            </w:r>
            <w:r w:rsidR="007B26F2" w:rsidRPr="007F6CE1">
              <w:rPr>
                <w:rFonts w:ascii="宋体" w:hAnsi="宋体"/>
                <w:sz w:val="28"/>
                <w:szCs w:val="28"/>
              </w:rPr>
              <w:t>.1 在信用中国网站未被列入失信被执行人、重大税收违法案件当事人 (提供在线查询截图)</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575"/>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2</w:t>
            </w:r>
            <w:r w:rsidR="007B26F2" w:rsidRPr="007F6CE1">
              <w:rPr>
                <w:rFonts w:ascii="宋体" w:hAnsi="宋体"/>
                <w:sz w:val="28"/>
                <w:szCs w:val="28"/>
              </w:rPr>
              <w:t>.2 未被中国政府采购网列入政府采购严重违法失信行为记录名单(提供 在线查询截图)</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2</w:t>
            </w:r>
            <w:r w:rsidR="007B26F2" w:rsidRPr="007F6CE1">
              <w:rPr>
                <w:rFonts w:ascii="宋体" w:hAnsi="宋体"/>
                <w:sz w:val="28"/>
                <w:szCs w:val="28"/>
              </w:rPr>
              <w:t>.3 在军队采购网未被列入供应商失信、暂停名单(提供在线查询截图)</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575"/>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2</w:t>
            </w:r>
            <w:r w:rsidR="007B26F2" w:rsidRPr="007F6CE1">
              <w:rPr>
                <w:rFonts w:ascii="宋体" w:hAnsi="宋体"/>
                <w:sz w:val="28"/>
                <w:szCs w:val="28"/>
              </w:rPr>
              <w:t>.4 参加本次采购活动前 3 年内在经营活动中没有重大违法记录的书面声明</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3</w:t>
            </w:r>
            <w:r w:rsidR="007B26F2" w:rsidRPr="007F6CE1">
              <w:rPr>
                <w:rFonts w:ascii="宋体" w:hAnsi="宋体"/>
                <w:sz w:val="28"/>
                <w:szCs w:val="28"/>
              </w:rPr>
              <w:t>. 投标人为非外资独资或外资控股企业，提供书面声明</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4</w:t>
            </w:r>
            <w:r w:rsidR="007B26F2" w:rsidRPr="007F6CE1">
              <w:rPr>
                <w:rFonts w:ascii="宋体" w:hAnsi="宋体"/>
                <w:sz w:val="28"/>
                <w:szCs w:val="28"/>
              </w:rPr>
              <w:t>. 不同投标人单位负责人非同一人或者不存在控股、管理关系</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5</w:t>
            </w:r>
            <w:r w:rsidR="007B26F2" w:rsidRPr="007F6CE1">
              <w:rPr>
                <w:rFonts w:ascii="宋体" w:hAnsi="宋体"/>
                <w:sz w:val="28"/>
                <w:szCs w:val="28"/>
              </w:rPr>
              <w:t>. 法定代表人资格证明书和授权书</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6</w:t>
            </w:r>
            <w:r w:rsidR="007B26F2" w:rsidRPr="007F6CE1">
              <w:rPr>
                <w:rFonts w:ascii="宋体" w:hAnsi="宋体"/>
                <w:sz w:val="28"/>
                <w:szCs w:val="28"/>
              </w:rPr>
              <w:t>. 本项目不接受联合体投标，不接受分包或转包</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514"/>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二、符合性审查内容</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1.投标文件密封完好。</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lastRenderedPageBreak/>
              <w:t>2.投标文件签署、盖章齐全完整。</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3.投标文件组成齐全完整。</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4.投标文件有效期满足招标文件要求。</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397082" w:rsidP="007B26F2">
            <w:pPr>
              <w:spacing w:before="62" w:line="360" w:lineRule="auto"/>
              <w:rPr>
                <w:rFonts w:ascii="宋体" w:hAnsi="宋体"/>
                <w:sz w:val="28"/>
                <w:szCs w:val="28"/>
              </w:rPr>
            </w:pPr>
            <w:r w:rsidRPr="007F6CE1">
              <w:rPr>
                <w:rFonts w:ascii="宋体" w:hAnsi="宋体" w:hint="eastAsia"/>
                <w:sz w:val="28"/>
                <w:szCs w:val="28"/>
              </w:rPr>
              <w:t>5</w:t>
            </w:r>
            <w:r w:rsidR="007B26F2" w:rsidRPr="007F6CE1">
              <w:rPr>
                <w:rFonts w:ascii="宋体" w:hAnsi="宋体"/>
                <w:sz w:val="28"/>
                <w:szCs w:val="28"/>
              </w:rPr>
              <w:t>.其他实质性条款满足招标文件要求。</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7F6CE1" w:rsidTr="00397082">
        <w:trPr>
          <w:trHeight w:val="356"/>
        </w:trPr>
        <w:tc>
          <w:tcPr>
            <w:tcW w:w="7049"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综 合 评 定</w:t>
            </w:r>
          </w:p>
        </w:tc>
        <w:tc>
          <w:tcPr>
            <w:tcW w:w="1245"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p>
        </w:tc>
      </w:tr>
      <w:tr w:rsidR="007B26F2" w:rsidRPr="006F1DB6" w:rsidTr="000070E5">
        <w:trPr>
          <w:trHeight w:val="464"/>
        </w:trPr>
        <w:tc>
          <w:tcPr>
            <w:tcW w:w="9570" w:type="dxa"/>
            <w:gridSpan w:val="4"/>
            <w:tcBorders>
              <w:top w:val="single" w:sz="2" w:space="0" w:color="000000"/>
              <w:bottom w:val="single" w:sz="2" w:space="0" w:color="000000"/>
            </w:tcBorders>
          </w:tcPr>
          <w:p w:rsidR="007B26F2" w:rsidRPr="007F6CE1" w:rsidRDefault="007B26F2" w:rsidP="007B26F2">
            <w:pPr>
              <w:spacing w:before="62" w:line="360" w:lineRule="auto"/>
              <w:rPr>
                <w:rFonts w:ascii="宋体" w:hAnsi="宋体"/>
                <w:sz w:val="28"/>
                <w:szCs w:val="28"/>
              </w:rPr>
            </w:pPr>
            <w:r w:rsidRPr="007F6CE1">
              <w:rPr>
                <w:rFonts w:ascii="宋体" w:hAnsi="宋体"/>
                <w:sz w:val="28"/>
                <w:szCs w:val="28"/>
              </w:rPr>
              <w:t>说明: 1.合格打“ √ ”, 不合格打“×”。 2.有一项内容不合格，综合评定为不合格。</w:t>
            </w:r>
          </w:p>
        </w:tc>
      </w:tr>
    </w:tbl>
    <w:p w:rsidR="00F0508E" w:rsidRPr="006F1DB6" w:rsidRDefault="00F0508E" w:rsidP="006853FB">
      <w:pPr>
        <w:spacing w:before="62" w:line="360" w:lineRule="auto"/>
        <w:rPr>
          <w:rFonts w:ascii="宋体" w:hAnsi="宋体"/>
          <w:sz w:val="28"/>
          <w:szCs w:val="28"/>
          <w:highlight w:val="yellow"/>
        </w:rPr>
      </w:pPr>
    </w:p>
    <w:p w:rsidR="00F0508E" w:rsidRPr="006F1DB6" w:rsidRDefault="00EB7BFE" w:rsidP="006853FB">
      <w:pPr>
        <w:spacing w:before="62" w:line="360" w:lineRule="auto"/>
        <w:rPr>
          <w:rFonts w:ascii="宋体" w:hAnsi="宋体"/>
          <w:b/>
          <w:sz w:val="28"/>
          <w:szCs w:val="28"/>
          <w:highlight w:val="yellow"/>
        </w:rPr>
      </w:pPr>
      <w:r w:rsidRPr="006F1DB6">
        <w:rPr>
          <w:rFonts w:ascii="宋体" w:hAnsi="宋体" w:hint="eastAsia"/>
          <w:b/>
          <w:sz w:val="28"/>
          <w:szCs w:val="28"/>
          <w:highlight w:val="yellow"/>
        </w:rPr>
        <w:t>三</w:t>
      </w:r>
      <w:r w:rsidR="00F0508E" w:rsidRPr="006F1DB6">
        <w:rPr>
          <w:rFonts w:ascii="宋体" w:hAnsi="宋体" w:hint="eastAsia"/>
          <w:b/>
          <w:sz w:val="28"/>
          <w:szCs w:val="28"/>
          <w:highlight w:val="yellow"/>
        </w:rPr>
        <w:t>、合同期限</w:t>
      </w:r>
    </w:p>
    <w:p w:rsidR="00F0508E" w:rsidRPr="006F1DB6" w:rsidRDefault="00E03D22" w:rsidP="006853FB">
      <w:pPr>
        <w:spacing w:before="62" w:line="360" w:lineRule="auto"/>
        <w:rPr>
          <w:rFonts w:ascii="宋体" w:hAnsi="宋体"/>
          <w:sz w:val="28"/>
          <w:szCs w:val="28"/>
          <w:highlight w:val="yellow"/>
        </w:rPr>
      </w:pPr>
      <w:r w:rsidRPr="006F1DB6">
        <w:rPr>
          <w:rFonts w:ascii="宋体" w:hAnsi="宋体" w:hint="eastAsia"/>
          <w:sz w:val="28"/>
          <w:szCs w:val="28"/>
          <w:highlight w:val="yellow"/>
        </w:rPr>
        <w:t>合同期限至维保期满（自验收合格之日起算）结束，维保期满后的维护费用将根据合同相关约定执行。</w:t>
      </w:r>
    </w:p>
    <w:p w:rsidR="00F0508E" w:rsidRPr="006F1DB6" w:rsidRDefault="00EB7BFE" w:rsidP="006853FB">
      <w:pPr>
        <w:spacing w:before="62" w:line="360" w:lineRule="auto"/>
        <w:rPr>
          <w:rFonts w:ascii="宋体" w:hAnsi="宋体"/>
          <w:b/>
          <w:sz w:val="28"/>
          <w:szCs w:val="28"/>
          <w:highlight w:val="yellow"/>
        </w:rPr>
      </w:pPr>
      <w:r w:rsidRPr="006F1DB6">
        <w:rPr>
          <w:rFonts w:ascii="宋体" w:hAnsi="宋体" w:hint="eastAsia"/>
          <w:b/>
          <w:sz w:val="28"/>
          <w:szCs w:val="28"/>
          <w:highlight w:val="yellow"/>
        </w:rPr>
        <w:t>四</w:t>
      </w:r>
      <w:r w:rsidR="00F0508E" w:rsidRPr="006F1DB6">
        <w:rPr>
          <w:rFonts w:ascii="宋体" w:hAnsi="宋体" w:hint="eastAsia"/>
          <w:b/>
          <w:sz w:val="28"/>
          <w:szCs w:val="28"/>
          <w:highlight w:val="yellow"/>
        </w:rPr>
        <w:t>、交货时间</w:t>
      </w:r>
    </w:p>
    <w:p w:rsidR="00F0508E" w:rsidRPr="006F1DB6" w:rsidRDefault="00E03D22" w:rsidP="006853FB">
      <w:pPr>
        <w:spacing w:before="62" w:line="360" w:lineRule="auto"/>
        <w:rPr>
          <w:rFonts w:ascii="宋体" w:hAnsi="宋体"/>
          <w:sz w:val="28"/>
          <w:szCs w:val="28"/>
          <w:highlight w:val="yellow"/>
        </w:rPr>
      </w:pPr>
      <w:r w:rsidRPr="006F1DB6">
        <w:rPr>
          <w:rFonts w:ascii="宋体" w:hAnsi="宋体" w:hint="eastAsia"/>
          <w:sz w:val="28"/>
          <w:szCs w:val="28"/>
          <w:highlight w:val="yellow"/>
        </w:rPr>
        <w:t>合同签订后</w:t>
      </w:r>
      <w:r w:rsidR="007F6CE1">
        <w:rPr>
          <w:rFonts w:ascii="宋体" w:hAnsi="宋体" w:hint="eastAsia"/>
          <w:sz w:val="28"/>
          <w:szCs w:val="28"/>
          <w:highlight w:val="yellow"/>
        </w:rPr>
        <w:t>1</w:t>
      </w:r>
      <w:r w:rsidRPr="006F1DB6">
        <w:rPr>
          <w:rFonts w:ascii="宋体" w:hAnsi="宋体" w:hint="eastAsia"/>
          <w:sz w:val="28"/>
          <w:szCs w:val="28"/>
          <w:highlight w:val="yellow"/>
        </w:rPr>
        <w:t>个月内完成项目所有实施工作。</w:t>
      </w:r>
    </w:p>
    <w:p w:rsidR="00F0508E" w:rsidRPr="006F1DB6" w:rsidRDefault="00EB7BFE" w:rsidP="006853FB">
      <w:pPr>
        <w:spacing w:before="62" w:line="360" w:lineRule="auto"/>
        <w:rPr>
          <w:rFonts w:ascii="宋体" w:hAnsi="宋体"/>
          <w:b/>
          <w:sz w:val="28"/>
          <w:szCs w:val="28"/>
          <w:highlight w:val="yellow"/>
        </w:rPr>
      </w:pPr>
      <w:r w:rsidRPr="006F1DB6">
        <w:rPr>
          <w:rFonts w:ascii="宋体" w:hAnsi="宋体" w:hint="eastAsia"/>
          <w:b/>
          <w:sz w:val="28"/>
          <w:szCs w:val="28"/>
          <w:highlight w:val="yellow"/>
        </w:rPr>
        <w:t>五</w:t>
      </w:r>
      <w:r w:rsidR="00F0508E" w:rsidRPr="006F1DB6">
        <w:rPr>
          <w:rFonts w:ascii="宋体" w:hAnsi="宋体" w:hint="eastAsia"/>
          <w:b/>
          <w:sz w:val="28"/>
          <w:szCs w:val="28"/>
          <w:highlight w:val="yellow"/>
        </w:rPr>
        <w:t>、项目验收、付款方式</w:t>
      </w:r>
    </w:p>
    <w:p w:rsidR="00D15856" w:rsidRPr="006F1DB6" w:rsidRDefault="00F0508E" w:rsidP="00D15856">
      <w:pPr>
        <w:spacing w:before="62" w:line="360" w:lineRule="auto"/>
        <w:rPr>
          <w:rFonts w:ascii="宋体" w:hAnsi="宋体"/>
          <w:sz w:val="28"/>
          <w:szCs w:val="28"/>
          <w:highlight w:val="yellow"/>
        </w:rPr>
      </w:pPr>
      <w:r w:rsidRPr="006F1DB6">
        <w:rPr>
          <w:rFonts w:ascii="宋体" w:hAnsi="宋体" w:hint="eastAsia"/>
          <w:sz w:val="28"/>
          <w:szCs w:val="28"/>
          <w:highlight w:val="yellow"/>
        </w:rPr>
        <w:t>验收工期：</w:t>
      </w:r>
      <w:r w:rsidR="00D15856" w:rsidRPr="006F1DB6">
        <w:rPr>
          <w:rFonts w:ascii="宋体" w:hAnsi="宋体" w:hint="eastAsia"/>
          <w:sz w:val="28"/>
          <w:szCs w:val="28"/>
          <w:highlight w:val="yellow"/>
        </w:rPr>
        <w:t>乙方应在合同生效</w:t>
      </w:r>
      <w:r w:rsidR="007F6CE1">
        <w:rPr>
          <w:rFonts w:ascii="宋体" w:hAnsi="宋体" w:hint="eastAsia"/>
          <w:sz w:val="28"/>
          <w:szCs w:val="28"/>
          <w:highlight w:val="yellow"/>
        </w:rPr>
        <w:t>1</w:t>
      </w:r>
      <w:r w:rsidR="00D15856" w:rsidRPr="006F1DB6">
        <w:rPr>
          <w:rFonts w:ascii="宋体" w:hAnsi="宋体" w:hint="eastAsia"/>
          <w:sz w:val="28"/>
          <w:szCs w:val="28"/>
          <w:highlight w:val="yellow"/>
        </w:rPr>
        <w:t>个自然月内完成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D15856" w:rsidRPr="006F1DB6" w:rsidRDefault="00D15856" w:rsidP="00D15856">
      <w:pPr>
        <w:spacing w:before="62" w:line="360" w:lineRule="auto"/>
        <w:rPr>
          <w:rFonts w:ascii="宋体" w:hAnsi="宋体"/>
          <w:b/>
          <w:sz w:val="28"/>
          <w:szCs w:val="28"/>
          <w:highlight w:val="yellow"/>
        </w:rPr>
      </w:pPr>
      <w:r w:rsidRPr="006F1DB6">
        <w:rPr>
          <w:rFonts w:ascii="宋体" w:hAnsi="宋体" w:hint="eastAsia"/>
          <w:b/>
          <w:sz w:val="28"/>
          <w:szCs w:val="28"/>
          <w:highlight w:val="yellow"/>
        </w:rPr>
        <w:t>付款方式：</w:t>
      </w:r>
    </w:p>
    <w:p w:rsidR="00D15856" w:rsidRPr="006F1DB6" w:rsidRDefault="00D15856" w:rsidP="00D15856">
      <w:pPr>
        <w:spacing w:before="62" w:line="360" w:lineRule="auto"/>
        <w:rPr>
          <w:rFonts w:ascii="宋体" w:hAnsi="宋体"/>
          <w:sz w:val="28"/>
          <w:szCs w:val="28"/>
          <w:highlight w:val="yellow"/>
        </w:rPr>
      </w:pPr>
      <w:r w:rsidRPr="006F1DB6">
        <w:rPr>
          <w:rFonts w:ascii="宋体" w:hAnsi="宋体" w:hint="eastAsia"/>
          <w:sz w:val="28"/>
          <w:szCs w:val="28"/>
          <w:highlight w:val="yellow"/>
        </w:rPr>
        <w:t>（1）合同签订生效后，中标人与需求方（</w:t>
      </w:r>
      <w:r w:rsidR="0067703E">
        <w:rPr>
          <w:rFonts w:ascii="宋体" w:hAnsi="宋体" w:hint="eastAsia"/>
          <w:sz w:val="28"/>
          <w:szCs w:val="28"/>
          <w:highlight w:val="yellow"/>
        </w:rPr>
        <w:t>海军军医大学第二附属医院</w:t>
      </w:r>
      <w:r w:rsidRPr="006F1DB6">
        <w:rPr>
          <w:rFonts w:ascii="宋体" w:hAnsi="宋体" w:hint="eastAsia"/>
          <w:sz w:val="28"/>
          <w:szCs w:val="28"/>
          <w:highlight w:val="yellow"/>
        </w:rPr>
        <w:t>）签署硬件设备签收单后，中标人提交发票（金额为合同硬件价款的50%），需求方收到相应金额发票并审核无误后于60个工作日内，向中标人支付合同硬件价款的50%；</w:t>
      </w:r>
    </w:p>
    <w:p w:rsidR="00D15856" w:rsidRPr="006F1DB6" w:rsidRDefault="00D15856" w:rsidP="00D15856">
      <w:pPr>
        <w:spacing w:before="62" w:line="360" w:lineRule="auto"/>
        <w:rPr>
          <w:rFonts w:ascii="宋体" w:hAnsi="宋体"/>
          <w:sz w:val="28"/>
          <w:szCs w:val="28"/>
          <w:highlight w:val="yellow"/>
        </w:rPr>
      </w:pPr>
      <w:r w:rsidRPr="006F1DB6">
        <w:rPr>
          <w:rFonts w:ascii="宋体" w:hAnsi="宋体" w:hint="eastAsia"/>
          <w:sz w:val="28"/>
          <w:szCs w:val="28"/>
          <w:highlight w:val="yellow"/>
        </w:rPr>
        <w:lastRenderedPageBreak/>
        <w:t>（2）中标人与需求方（</w:t>
      </w:r>
      <w:r w:rsidR="0067703E">
        <w:rPr>
          <w:rFonts w:ascii="宋体" w:hAnsi="宋体" w:hint="eastAsia"/>
          <w:sz w:val="28"/>
          <w:szCs w:val="28"/>
          <w:highlight w:val="yellow"/>
        </w:rPr>
        <w:t>海军军医大学第二附属医院</w:t>
      </w:r>
      <w:r w:rsidRPr="006F1DB6">
        <w:rPr>
          <w:rFonts w:ascii="宋体" w:hAnsi="宋体" w:hint="eastAsia"/>
          <w:sz w:val="28"/>
          <w:szCs w:val="28"/>
          <w:highlight w:val="yellow"/>
        </w:rPr>
        <w:t>）签署硬件设备验收报告后，中标人提交发票（金额为合同硬件价款的40%），需求方收到相应金额发票并审核无误后于60个工作日内，向中标人支付合同硬件价款的40%；</w:t>
      </w:r>
    </w:p>
    <w:p w:rsidR="00D15856" w:rsidRDefault="00D15856" w:rsidP="00D15856">
      <w:pPr>
        <w:spacing w:before="62" w:line="360" w:lineRule="auto"/>
        <w:rPr>
          <w:rFonts w:ascii="宋体" w:hAnsi="宋体"/>
          <w:sz w:val="28"/>
          <w:szCs w:val="28"/>
        </w:rPr>
      </w:pPr>
      <w:r w:rsidRPr="006F1DB6">
        <w:rPr>
          <w:rFonts w:ascii="宋体" w:hAnsi="宋体" w:hint="eastAsia"/>
          <w:sz w:val="28"/>
          <w:szCs w:val="28"/>
          <w:highlight w:val="yellow"/>
        </w:rPr>
        <w:t>（3）自中标人与需求方（</w:t>
      </w:r>
      <w:r w:rsidR="0067703E">
        <w:rPr>
          <w:rFonts w:ascii="宋体" w:hAnsi="宋体" w:hint="eastAsia"/>
          <w:sz w:val="28"/>
          <w:szCs w:val="28"/>
          <w:highlight w:val="yellow"/>
        </w:rPr>
        <w:t>海军军医大学第二附属医院</w:t>
      </w:r>
      <w:r w:rsidRPr="006F1DB6">
        <w:rPr>
          <w:rFonts w:ascii="宋体" w:hAnsi="宋体" w:hint="eastAsia"/>
          <w:sz w:val="28"/>
          <w:szCs w:val="28"/>
          <w:highlight w:val="yellow"/>
        </w:rPr>
        <w:t>）签署硬件设备验收报告日起，免费维护期满一年且中标人维护期内按合同履行了所有义务的，中标人提交发票（金额为合同硬件价款的10%），需求方收到相应金额发票并审核无误后于60个工作日内，向中标人支付合同硬件价款的10%。</w:t>
      </w:r>
    </w:p>
    <w:p w:rsidR="00D15856" w:rsidRPr="00D15856" w:rsidRDefault="00536407" w:rsidP="00D15856">
      <w:pPr>
        <w:spacing w:before="62" w:line="360" w:lineRule="auto"/>
        <w:rPr>
          <w:rFonts w:ascii="宋体" w:hAnsi="宋体"/>
          <w:b/>
          <w:bCs/>
          <w:sz w:val="28"/>
          <w:szCs w:val="28"/>
        </w:rPr>
      </w:pPr>
      <w:r>
        <w:rPr>
          <w:rFonts w:ascii="宋体" w:hAnsi="宋体" w:hint="eastAsia"/>
          <w:b/>
          <w:bCs/>
          <w:sz w:val="28"/>
          <w:szCs w:val="28"/>
        </w:rPr>
        <w:t>六</w:t>
      </w:r>
      <w:r w:rsidR="00D15856" w:rsidRPr="00D15856">
        <w:rPr>
          <w:rFonts w:ascii="宋体" w:hAnsi="宋体" w:hint="eastAsia"/>
          <w:b/>
          <w:bCs/>
          <w:sz w:val="28"/>
          <w:szCs w:val="28"/>
        </w:rPr>
        <w:t>、总体要求</w:t>
      </w:r>
    </w:p>
    <w:p w:rsidR="006F1DB6" w:rsidRPr="006F1DB6" w:rsidRDefault="006F1DB6" w:rsidP="006F1DB6">
      <w:pPr>
        <w:spacing w:before="62" w:line="360" w:lineRule="auto"/>
        <w:rPr>
          <w:rFonts w:ascii="宋体" w:hAnsi="宋体"/>
          <w:sz w:val="28"/>
          <w:szCs w:val="28"/>
        </w:rPr>
      </w:pPr>
      <w:r w:rsidRPr="006F1DB6">
        <w:rPr>
          <w:rFonts w:ascii="宋体" w:hAnsi="宋体" w:hint="eastAsia"/>
          <w:sz w:val="28"/>
          <w:szCs w:val="28"/>
        </w:rPr>
        <w:t>投标人须提供清晰、明确的系统设计方案具体要求如下：</w:t>
      </w:r>
    </w:p>
    <w:p w:rsidR="006F1DB6" w:rsidRPr="006F1DB6" w:rsidRDefault="006F1DB6" w:rsidP="006F1DB6">
      <w:pPr>
        <w:spacing w:before="62" w:line="360" w:lineRule="auto"/>
        <w:rPr>
          <w:rFonts w:ascii="宋体" w:hAnsi="宋体"/>
          <w:sz w:val="28"/>
          <w:szCs w:val="28"/>
        </w:rPr>
      </w:pPr>
      <w:r w:rsidRPr="006F1DB6">
        <w:rPr>
          <w:rFonts w:ascii="宋体" w:hAnsi="宋体" w:hint="eastAsia"/>
          <w:sz w:val="28"/>
          <w:szCs w:val="28"/>
        </w:rPr>
        <w:t>1、项目建设内容中所列的建设模块和具体内容不能有任何缺失，否则甲方有权拒绝验收。</w:t>
      </w:r>
    </w:p>
    <w:p w:rsidR="006F1DB6" w:rsidRPr="006F1DB6" w:rsidRDefault="006F1DB6" w:rsidP="006F1DB6">
      <w:pPr>
        <w:spacing w:before="62" w:line="360" w:lineRule="auto"/>
        <w:rPr>
          <w:rFonts w:ascii="宋体" w:hAnsi="宋体"/>
          <w:sz w:val="28"/>
          <w:szCs w:val="28"/>
        </w:rPr>
      </w:pPr>
      <w:r w:rsidRPr="006F1DB6">
        <w:rPr>
          <w:rFonts w:ascii="宋体" w:hAnsi="宋体" w:hint="eastAsia"/>
          <w:sz w:val="28"/>
          <w:szCs w:val="28"/>
        </w:rPr>
        <w:t>2、安装和实施之后，提供对应用人员和医院维护、管理人员进行培训。</w:t>
      </w:r>
    </w:p>
    <w:p w:rsidR="006F1DB6" w:rsidRPr="006F1DB6" w:rsidRDefault="006F1DB6" w:rsidP="006F1DB6">
      <w:pPr>
        <w:spacing w:before="62" w:line="360" w:lineRule="auto"/>
        <w:rPr>
          <w:rFonts w:ascii="宋体" w:hAnsi="宋体"/>
          <w:bCs/>
          <w:sz w:val="28"/>
          <w:szCs w:val="28"/>
        </w:rPr>
      </w:pPr>
      <w:r w:rsidRPr="006F1DB6">
        <w:rPr>
          <w:rFonts w:ascii="宋体" w:hAnsi="宋体" w:hint="eastAsia"/>
          <w:sz w:val="28"/>
          <w:szCs w:val="28"/>
        </w:rPr>
        <w:t>3、本项目硬件至少提供三年免费维保服务。</w:t>
      </w:r>
    </w:p>
    <w:p w:rsidR="006F1DB6" w:rsidRPr="006F1DB6" w:rsidRDefault="006F1DB6" w:rsidP="006F1DB6">
      <w:pPr>
        <w:spacing w:before="62" w:line="360" w:lineRule="auto"/>
        <w:rPr>
          <w:rFonts w:ascii="宋体" w:hAnsi="宋体"/>
          <w:bCs/>
          <w:sz w:val="28"/>
          <w:szCs w:val="28"/>
        </w:rPr>
      </w:pPr>
      <w:r w:rsidRPr="006F1DB6">
        <w:rPr>
          <w:rFonts w:ascii="宋体" w:hAnsi="宋体" w:hint="eastAsia"/>
          <w:bCs/>
          <w:sz w:val="28"/>
          <w:szCs w:val="28"/>
        </w:rPr>
        <w:t>4、本项目硬件免费质保期满后，如需求方（</w:t>
      </w:r>
      <w:r w:rsidR="0067703E">
        <w:rPr>
          <w:rFonts w:ascii="宋体" w:hAnsi="宋体" w:hint="eastAsia"/>
          <w:bCs/>
          <w:sz w:val="28"/>
          <w:szCs w:val="28"/>
        </w:rPr>
        <w:t>海军军医大学第二附属医院</w:t>
      </w:r>
      <w:r w:rsidRPr="006F1DB6">
        <w:rPr>
          <w:rFonts w:ascii="宋体" w:hAnsi="宋体" w:hint="eastAsia"/>
          <w:bCs/>
          <w:sz w:val="28"/>
          <w:szCs w:val="28"/>
        </w:rPr>
        <w:t>）需要投标人继续提供硬件维保服务，则投标人承诺提供给需求方（</w:t>
      </w:r>
      <w:r w:rsidR="0067703E">
        <w:rPr>
          <w:rFonts w:ascii="宋体" w:hAnsi="宋体" w:hint="eastAsia"/>
          <w:bCs/>
          <w:sz w:val="28"/>
          <w:szCs w:val="28"/>
        </w:rPr>
        <w:t>海军军医大学第二附属医院</w:t>
      </w:r>
      <w:r w:rsidRPr="006F1DB6">
        <w:rPr>
          <w:rFonts w:ascii="宋体" w:hAnsi="宋体" w:hint="eastAsia"/>
          <w:bCs/>
          <w:sz w:val="28"/>
          <w:szCs w:val="28"/>
        </w:rPr>
        <w:t>）的有偿年硬件维保费最高不超过合同中硬件部分价款的10%；</w:t>
      </w:r>
    </w:p>
    <w:p w:rsidR="00D15856" w:rsidRDefault="007F6CE1" w:rsidP="00D15856">
      <w:pPr>
        <w:spacing w:before="62" w:line="360" w:lineRule="auto"/>
        <w:rPr>
          <w:rFonts w:ascii="宋体" w:hAnsi="宋体"/>
          <w:sz w:val="28"/>
          <w:szCs w:val="28"/>
        </w:rPr>
      </w:pPr>
      <w:r>
        <w:rPr>
          <w:rFonts w:ascii="宋体" w:hAnsi="宋体" w:hint="eastAsia"/>
          <w:sz w:val="28"/>
          <w:szCs w:val="28"/>
        </w:rPr>
        <w:t>5、</w:t>
      </w:r>
      <w:r w:rsidRPr="007F6CE1">
        <w:rPr>
          <w:rFonts w:ascii="宋体" w:hAnsi="宋体" w:hint="eastAsia"/>
          <w:sz w:val="28"/>
          <w:szCs w:val="28"/>
        </w:rPr>
        <w:t>本项目需提供自验收通过之日起终身</w:t>
      </w:r>
      <w:r w:rsidR="00536407">
        <w:rPr>
          <w:rFonts w:ascii="宋体" w:hAnsi="宋体" w:hint="eastAsia"/>
          <w:sz w:val="28"/>
          <w:szCs w:val="28"/>
        </w:rPr>
        <w:t>7＊24</w:t>
      </w:r>
      <w:r w:rsidRPr="007F6CE1">
        <w:rPr>
          <w:rFonts w:ascii="宋体" w:hAnsi="宋体" w:hint="eastAsia"/>
          <w:sz w:val="28"/>
          <w:szCs w:val="28"/>
        </w:rPr>
        <w:t>小时免费维保服务，故障响应时间不超过1小时，非工作日及夜间故障响应时间为不超过 2小时，需现场处理时技术人员 2小时内到达现场，4 小时内修复。免费维保期内对系统优化和常规安全检查。</w:t>
      </w: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Default="00397082" w:rsidP="00D15856">
      <w:pPr>
        <w:spacing w:before="62" w:line="360" w:lineRule="auto"/>
        <w:rPr>
          <w:rFonts w:ascii="宋体" w:hAnsi="宋体"/>
          <w:sz w:val="28"/>
          <w:szCs w:val="28"/>
        </w:rPr>
      </w:pPr>
    </w:p>
    <w:p w:rsidR="00397082" w:rsidRPr="006F1DB6" w:rsidRDefault="00397082" w:rsidP="00D15856">
      <w:pPr>
        <w:spacing w:before="62" w:line="360" w:lineRule="auto"/>
        <w:rPr>
          <w:rFonts w:ascii="宋体" w:hAnsi="宋体"/>
          <w:sz w:val="28"/>
          <w:szCs w:val="28"/>
        </w:rPr>
      </w:pPr>
    </w:p>
    <w:p w:rsidR="00C81C01" w:rsidRDefault="00D15856" w:rsidP="00D15856">
      <w:pPr>
        <w:spacing w:before="62" w:line="360" w:lineRule="auto"/>
        <w:rPr>
          <w:rFonts w:ascii="宋体" w:hAnsi="宋体"/>
          <w:sz w:val="28"/>
          <w:szCs w:val="28"/>
        </w:rPr>
      </w:pPr>
      <w:r w:rsidRPr="00D15856">
        <w:rPr>
          <w:rFonts w:ascii="宋体" w:hAnsi="宋体" w:hint="eastAsia"/>
          <w:b/>
          <w:sz w:val="28"/>
          <w:szCs w:val="28"/>
        </w:rPr>
        <w:t>注：项目总体要求为必须满足的要求，最终将作为条款写入合同。</w:t>
      </w:r>
    </w:p>
    <w:p w:rsidR="00C81C01" w:rsidRDefault="00C81C01" w:rsidP="006853FB">
      <w:pPr>
        <w:spacing w:before="62" w:line="360" w:lineRule="auto"/>
        <w:rPr>
          <w:rFonts w:ascii="宋体" w:hAnsi="宋体"/>
          <w:sz w:val="28"/>
          <w:szCs w:val="28"/>
        </w:rPr>
      </w:pPr>
    </w:p>
    <w:p w:rsidR="00380DA6" w:rsidRDefault="00380DA6" w:rsidP="00B40811">
      <w:pPr>
        <w:outlineLvl w:val="0"/>
        <w:rPr>
          <w:rFonts w:ascii="宋体" w:hAnsi="宋体"/>
          <w:b/>
          <w:sz w:val="36"/>
          <w:szCs w:val="20"/>
        </w:rPr>
      </w:pPr>
    </w:p>
    <w:p w:rsidR="005839A1" w:rsidRDefault="00EF5A74">
      <w:pPr>
        <w:jc w:val="center"/>
        <w:outlineLvl w:val="0"/>
        <w:rPr>
          <w:rFonts w:ascii="宋体" w:hAnsi="宋体"/>
          <w:b/>
          <w:sz w:val="36"/>
          <w:szCs w:val="20"/>
        </w:rPr>
      </w:pPr>
      <w:r>
        <w:rPr>
          <w:rFonts w:ascii="宋体" w:hAnsi="宋体" w:hint="eastAsia"/>
          <w:b/>
          <w:sz w:val="36"/>
          <w:szCs w:val="20"/>
        </w:rPr>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12"/>
      <w:bookmarkEnd w:id="13"/>
      <w:bookmarkEnd w:id="14"/>
      <w:bookmarkEnd w:id="15"/>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3</w:t>
      </w:r>
      <w:r>
        <w:rPr>
          <w:rFonts w:ascii="宋体" w:hAnsi="宋体"/>
          <w:sz w:val="28"/>
          <w:szCs w:val="28"/>
        </w:rPr>
        <w:t>：主要技术性能参数表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4</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5</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6</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7</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5"/>
        <w:rPr>
          <w:rFonts w:ascii="宋体" w:hAnsi="宋体"/>
          <w:sz w:val="28"/>
          <w:szCs w:val="28"/>
        </w:rPr>
      </w:pPr>
      <w:r w:rsidRPr="00C15626">
        <w:rPr>
          <w:rFonts w:ascii="宋体" w:hAnsi="宋体"/>
          <w:b/>
          <w:sz w:val="28"/>
          <w:szCs w:val="28"/>
          <w:lang w:val="zh-CN"/>
        </w:rPr>
        <w:t>※</w:t>
      </w:r>
      <w:r w:rsidRPr="00C15626">
        <w:rPr>
          <w:rFonts w:ascii="宋体" w:hAnsi="宋体"/>
          <w:sz w:val="28"/>
          <w:szCs w:val="28"/>
        </w:rPr>
        <w:t>附件</w:t>
      </w:r>
      <w:r w:rsidRPr="00C15626">
        <w:rPr>
          <w:rFonts w:ascii="宋体" w:hAnsi="宋体" w:hint="eastAsia"/>
          <w:sz w:val="28"/>
          <w:szCs w:val="28"/>
        </w:rPr>
        <w:t>8</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9</w:t>
      </w:r>
      <w:r>
        <w:rPr>
          <w:rFonts w:ascii="宋体" w:hAnsi="宋体"/>
          <w:sz w:val="28"/>
          <w:szCs w:val="28"/>
        </w:rPr>
        <w:t>：法定代表人资格证明书</w:t>
      </w:r>
    </w:p>
    <w:p w:rsidR="005839A1" w:rsidRPr="00C15626" w:rsidRDefault="00EF5A74">
      <w:pPr>
        <w:spacing w:line="580" w:lineRule="exact"/>
        <w:ind w:firstLineChars="475" w:firstLine="1335"/>
        <w:rPr>
          <w:rFonts w:ascii="宋体" w:hAnsi="宋体"/>
          <w:sz w:val="28"/>
          <w:szCs w:val="28"/>
        </w:rPr>
      </w:pPr>
      <w:r w:rsidRPr="00C15626">
        <w:rPr>
          <w:rFonts w:ascii="宋体" w:hAnsi="宋体"/>
          <w:b/>
          <w:sz w:val="28"/>
          <w:szCs w:val="28"/>
          <w:lang w:val="zh-CN"/>
        </w:rPr>
        <w:t>※</w:t>
      </w:r>
      <w:r w:rsidRPr="00C15626">
        <w:rPr>
          <w:rFonts w:ascii="宋体" w:hAnsi="宋体"/>
          <w:sz w:val="28"/>
          <w:szCs w:val="28"/>
        </w:rPr>
        <w:t>附件</w:t>
      </w:r>
      <w:r w:rsidRPr="00C15626">
        <w:rPr>
          <w:rFonts w:ascii="宋体" w:hAnsi="宋体" w:hint="eastAsia"/>
          <w:sz w:val="28"/>
          <w:szCs w:val="28"/>
        </w:rPr>
        <w:t>10</w:t>
      </w:r>
      <w:r w:rsidRPr="00C15626">
        <w:rPr>
          <w:rFonts w:ascii="宋体" w:hAnsi="宋体"/>
          <w:sz w:val="28"/>
          <w:szCs w:val="28"/>
        </w:rPr>
        <w:t>：法定代表人授权书</w:t>
      </w:r>
    </w:p>
    <w:p w:rsidR="005839A1" w:rsidRPr="00961576" w:rsidRDefault="00C15626" w:rsidP="00961576">
      <w:pPr>
        <w:spacing w:line="580" w:lineRule="exact"/>
        <w:ind w:firstLineChars="475" w:firstLine="1330"/>
        <w:rPr>
          <w:rFonts w:ascii="宋体" w:hAnsi="宋体"/>
          <w:sz w:val="28"/>
          <w:szCs w:val="28"/>
        </w:rPr>
      </w:pPr>
      <w:r w:rsidRPr="00C15626">
        <w:rPr>
          <w:rFonts w:ascii="宋体" w:hAnsi="宋体"/>
          <w:sz w:val="28"/>
          <w:szCs w:val="28"/>
        </w:rPr>
        <w:t>附件</w:t>
      </w:r>
      <w:r w:rsidRPr="00C15626">
        <w:rPr>
          <w:rFonts w:ascii="宋体" w:hAnsi="宋体" w:hint="eastAsia"/>
          <w:sz w:val="28"/>
          <w:szCs w:val="28"/>
        </w:rPr>
        <w:t>11</w:t>
      </w:r>
      <w:r w:rsidRPr="00C15626">
        <w:rPr>
          <w:rFonts w:ascii="宋体" w:hAnsi="宋体"/>
          <w:sz w:val="28"/>
          <w:szCs w:val="28"/>
        </w:rPr>
        <w:t>：</w:t>
      </w:r>
      <w:r w:rsidRPr="00C15626">
        <w:rPr>
          <w:rFonts w:ascii="宋体" w:hAnsi="宋体" w:hint="eastAsia"/>
          <w:sz w:val="28"/>
          <w:szCs w:val="28"/>
        </w:rPr>
        <w:t>供应商保密承诺书</w:t>
      </w:r>
    </w:p>
    <w:p w:rsidR="005839A1" w:rsidRDefault="005839A1">
      <w:pPr>
        <w:widowControl/>
        <w:jc w:val="left"/>
        <w:rPr>
          <w:rFonts w:eastAsia="黑体"/>
        </w:rPr>
        <w:sectPr w:rsidR="005839A1">
          <w:headerReference w:type="default" r:id="rId9"/>
          <w:footerReference w:type="default" r:id="rId10"/>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4A13D5">
      <w:pPr>
        <w:spacing w:afterLines="100" w:after="24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金额之和。</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（包号或货物名称）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文件及所提供的一切资料均真实有效。由于我方提供资料不实而造成的责任和后果由我方承担。我方同意按照贵部要求，提供与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Default="00EF5A74">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B913E0" w:rsidP="00B913E0">
      <w:pPr>
        <w:autoSpaceDE w:val="0"/>
        <w:autoSpaceDN w:val="0"/>
        <w:adjustRightInd w:val="0"/>
        <w:rPr>
          <w:sz w:val="28"/>
          <w:szCs w:val="28"/>
          <w:lang w:val="zh-CN"/>
        </w:rPr>
      </w:pPr>
      <w:r>
        <w:rPr>
          <w:sz w:val="28"/>
          <w:szCs w:val="28"/>
          <w:lang w:val="zh-CN"/>
        </w:rPr>
        <w:lastRenderedPageBreak/>
        <w:t xml:space="preserve"> </w:t>
      </w:r>
    </w:p>
    <w:p w:rsidR="005839A1" w:rsidRDefault="00EF5A74">
      <w:pPr>
        <w:rPr>
          <w:rFonts w:eastAsia="黑体"/>
          <w:sz w:val="28"/>
          <w:szCs w:val="28"/>
        </w:rPr>
      </w:pPr>
      <w:r>
        <w:rPr>
          <w:rFonts w:eastAsia="黑体"/>
          <w:sz w:val="28"/>
          <w:szCs w:val="28"/>
        </w:rPr>
        <w:t>附件</w:t>
      </w:r>
      <w:r w:rsidR="00B913E0">
        <w:rPr>
          <w:rFonts w:ascii="宋体" w:hAnsi="宋体" w:hint="eastAsia"/>
          <w:sz w:val="28"/>
          <w:szCs w:val="28"/>
        </w:rPr>
        <w:t>3</w:t>
      </w:r>
    </w:p>
    <w:p w:rsidR="005839A1" w:rsidRDefault="00EF5A74" w:rsidP="004A13D5">
      <w:pPr>
        <w:spacing w:afterLines="100" w:after="312"/>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B913E0">
            <w:r w:rsidRPr="00B913E0">
              <w:rPr>
                <w:rFonts w:hint="eastAsia"/>
              </w:rPr>
              <w:t>汇聚交换机</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B913E0">
            <w:r w:rsidRPr="00B913E0">
              <w:rPr>
                <w:rFonts w:hint="eastAsia"/>
              </w:rPr>
              <w:t>接入交换机</w:t>
            </w:r>
          </w:p>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164520" w:rsidRDefault="00164520"/>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应对照文件技术要求，逐条如实填写所投产品的具体指标参数，注明无偏离、正偏离或负偏离，并在备注中注明偏离的具体内容。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B913E0">
        <w:rPr>
          <w:rFonts w:ascii="宋体" w:hAnsi="宋体" w:hint="eastAsia"/>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4A13D5">
            <w:pPr>
              <w:spacing w:beforeLines="20" w:before="62" w:afterLines="20" w:after="62"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4A13D5">
            <w:pPr>
              <w:spacing w:beforeLines="20" w:before="62" w:afterLines="20" w:after="62"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4A13D5">
            <w:pPr>
              <w:spacing w:beforeLines="20" w:before="62" w:afterLines="20" w:after="62"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4A13D5">
            <w:pPr>
              <w:spacing w:beforeLines="20" w:before="62" w:afterLines="20" w:after="62"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4A13D5">
            <w:pPr>
              <w:spacing w:beforeLines="20" w:before="62" w:afterLines="20" w:after="62"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F0508E" w:rsidP="004A13D5">
            <w:pPr>
              <w:spacing w:beforeLines="20" w:before="62" w:afterLines="20" w:after="62" w:line="360" w:lineRule="auto"/>
            </w:pPr>
            <w:r>
              <w:rPr>
                <w:rFonts w:hint="eastAsia"/>
              </w:rPr>
              <w:t>响应人资质：</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4A13D5">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4A13D5">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4A13D5">
            <w:pPr>
              <w:spacing w:beforeLines="20" w:before="62" w:afterLines="20" w:after="62"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4A13D5">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4A13D5">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4A13D5">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4A13D5">
            <w:pPr>
              <w:spacing w:beforeLines="20" w:before="62" w:afterLines="20" w:after="62"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4A13D5">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4A13D5">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4A13D5">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4A13D5">
            <w:pPr>
              <w:spacing w:beforeLines="20" w:before="62" w:afterLines="20" w:after="62"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4A13D5">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4A13D5">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4A13D5">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4A13D5">
            <w:pPr>
              <w:spacing w:beforeLines="20" w:before="62" w:afterLines="20" w:after="62"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4A13D5">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4A13D5">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4A13D5">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4A13D5">
            <w:pPr>
              <w:spacing w:beforeLines="20" w:before="62" w:afterLines="20" w:after="62"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4A13D5">
            <w:pPr>
              <w:spacing w:beforeLines="20" w:before="62" w:afterLines="20" w:after="62"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4A13D5">
            <w:pPr>
              <w:spacing w:beforeLines="20" w:before="62" w:afterLines="20" w:after="62"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4A13D5">
            <w:pPr>
              <w:spacing w:beforeLines="20" w:before="62" w:afterLines="20" w:after="62"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4A13D5">
            <w:pPr>
              <w:spacing w:beforeLines="20" w:before="62" w:afterLines="20" w:after="62"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sidR="00B913E0">
        <w:rPr>
          <w:rFonts w:ascii="宋体" w:hAnsi="宋体" w:hint="eastAsia"/>
          <w:sz w:val="28"/>
          <w:szCs w:val="28"/>
        </w:rPr>
        <w:t>5</w:t>
      </w:r>
    </w:p>
    <w:p w:rsidR="005839A1" w:rsidRDefault="00EF5A74" w:rsidP="004A13D5">
      <w:pPr>
        <w:spacing w:afterLines="100" w:after="312"/>
        <w:jc w:val="center"/>
        <w:rPr>
          <w:rFonts w:eastAsia="方正小标宋简体"/>
          <w:snapToGrid w:val="0"/>
          <w:sz w:val="44"/>
          <w:szCs w:val="44"/>
          <w:lang w:val="zh-CN"/>
        </w:rPr>
      </w:pPr>
      <w:r>
        <w:rPr>
          <w:rFonts w:eastAsia="方正小标宋简体"/>
          <w:snapToGrid w:val="0"/>
          <w:sz w:val="44"/>
          <w:szCs w:val="44"/>
          <w:lang w:val="zh-CN"/>
        </w:rPr>
        <w:t>交货清单</w:t>
      </w:r>
    </w:p>
    <w:p w:rsidR="005839A1" w:rsidRDefault="00EF5A7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B913E0">
        <w:rPr>
          <w:rFonts w:ascii="宋体" w:hAnsi="宋体" w:hint="eastAsia"/>
          <w:sz w:val="28"/>
          <w:szCs w:val="28"/>
        </w:rPr>
        <w:t>6</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4A13D5">
      <w:pPr>
        <w:spacing w:afterLines="100" w:after="312"/>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B913E0">
        <w:rPr>
          <w:rFonts w:ascii="宋体" w:hAnsi="宋体" w:hint="eastAsia"/>
          <w:sz w:val="28"/>
          <w:szCs w:val="28"/>
        </w:rPr>
        <w:t>7</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w:t>
      </w:r>
      <w:r w:rsidR="0067703E">
        <w:rPr>
          <w:rFonts w:ascii="宋体" w:hAnsi="宋体" w:hint="eastAsia"/>
          <w:sz w:val="28"/>
          <w:szCs w:val="28"/>
        </w:rPr>
        <w:t>海军军医大学第二附属医院</w:t>
      </w:r>
      <w:r>
        <w:rPr>
          <w:rFonts w:ascii="宋体" w:hAnsi="宋体" w:hint="eastAsia"/>
          <w:sz w:val="28"/>
          <w:szCs w:val="28"/>
        </w:rPr>
        <w:t>组织的军队采购活动，并对公司诚信作出如下承诺：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B913E0">
        <w:rPr>
          <w:rFonts w:ascii="宋体" w:hAnsi="宋体" w:hint="eastAsia"/>
          <w:sz w:val="28"/>
          <w:szCs w:val="28"/>
        </w:rPr>
        <w:t>8</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A20E18">
      <w:pPr>
        <w:rPr>
          <w:sz w:val="28"/>
          <w:szCs w:val="28"/>
        </w:rPr>
      </w:pPr>
      <w:r>
        <w:pict>
          <v:shapetype id="_x0000_t202" coordsize="21600,21600" o:spt="202" path="m,l,21600r21600,l21600,xe">
            <v:stroke joinstyle="miter"/>
            <v:path gradientshapeok="t" o:connecttype="rect"/>
          </v:shapetype>
          <v:shape id="Text Box 23" o:spid="_x0000_s1031" type="#_x0000_t202" style="position:absolute;left:0;text-align:left;margin-left:27.55pt;margin-top:5.65pt;width:176.45pt;height:88.65pt;z-index:251662336;v-text-anchor:middle">
            <v:stroke dashstyle="dash"/>
            <v:textbox style="mso-next-textbox:#Text Box 23">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法定代表人身份证复印件</w:t>
                  </w:r>
                </w:p>
                <w:p w:rsidR="007F6CE1" w:rsidRDefault="007F6CE1">
                  <w:pPr>
                    <w:jc w:val="center"/>
                    <w:rPr>
                      <w:sz w:val="28"/>
                      <w:szCs w:val="28"/>
                    </w:rPr>
                  </w:pPr>
                  <w:r>
                    <w:rPr>
                      <w:rFonts w:ascii="宋体" w:hAnsi="宋体" w:hint="eastAsia"/>
                      <w:sz w:val="28"/>
                      <w:szCs w:val="28"/>
                    </w:rPr>
                    <w:t>（正面）</w:t>
                  </w:r>
                </w:p>
              </w:txbxContent>
            </v:textbox>
          </v:shape>
        </w:pict>
      </w:r>
      <w:r>
        <w:rPr>
          <w:sz w:val="28"/>
          <w:szCs w:val="28"/>
        </w:rPr>
        <w:pict>
          <v:shape id="_x0000_s1032" type="#_x0000_t202" style="position:absolute;left:0;text-align:left;margin-left:228pt;margin-top:5pt;width:176.45pt;height:88.65pt;z-index:251663360;v-text-anchor:middle">
            <v:stroke dashstyle="dash"/>
            <v:textbox style="mso-next-textbox:#_x0000_s1032">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法定代表人身份证复印件</w:t>
                  </w:r>
                </w:p>
                <w:p w:rsidR="007F6CE1" w:rsidRDefault="007F6CE1">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B913E0">
        <w:rPr>
          <w:rFonts w:ascii="宋体" w:hAnsi="宋体" w:hint="eastAsia"/>
          <w:sz w:val="28"/>
          <w:szCs w:val="28"/>
        </w:rPr>
        <w:t>9</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67703E">
      <w:pPr>
        <w:spacing w:line="600" w:lineRule="exact"/>
        <w:rPr>
          <w:rFonts w:eastAsia="楷体_GB2312"/>
          <w:sz w:val="28"/>
          <w:szCs w:val="28"/>
        </w:rPr>
      </w:pPr>
      <w:r>
        <w:rPr>
          <w:rFonts w:eastAsia="楷体_GB2312" w:hint="eastAsia"/>
          <w:sz w:val="28"/>
          <w:szCs w:val="28"/>
        </w:rPr>
        <w:t>海军军医大学第二附属医院</w:t>
      </w:r>
      <w:r w:rsidR="00EF5A74">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A20E18">
      <w:pPr>
        <w:spacing w:line="560" w:lineRule="exact"/>
        <w:ind w:firstLine="573"/>
      </w:pPr>
      <w:r>
        <w:pict>
          <v:shape id="_x0000_s1034" type="#_x0000_t202" style="position:absolute;left:0;text-align:left;margin-left:226.45pt;margin-top:9.4pt;width:176.45pt;height:88.65pt;z-index:251665408;v-text-anchor:middle">
            <v:stroke dashstyle="dash"/>
            <v:textbox style="mso-next-textbox:#_x0000_s1034">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授权代表身份证复印件</w:t>
                  </w:r>
                </w:p>
                <w:p w:rsidR="007F6CE1" w:rsidRDefault="007F6CE1">
                  <w:pPr>
                    <w:jc w:val="center"/>
                    <w:rPr>
                      <w:sz w:val="28"/>
                      <w:szCs w:val="28"/>
                    </w:rPr>
                  </w:pPr>
                  <w:r>
                    <w:rPr>
                      <w:rFonts w:ascii="宋体" w:hAnsi="宋体" w:hint="eastAsia"/>
                      <w:sz w:val="28"/>
                      <w:szCs w:val="28"/>
                    </w:rPr>
                    <w:t>（反面）</w:t>
                  </w:r>
                </w:p>
              </w:txbxContent>
            </v:textbox>
          </v:shape>
        </w:pict>
      </w:r>
      <w:r>
        <w:pict>
          <v:shape id="_x0000_s1033" type="#_x0000_t202" style="position:absolute;left:0;text-align:left;margin-left:30.6pt;margin-top:9.25pt;width:176.45pt;height:88.65pt;z-index:251664384;v-text-anchor:middle">
            <v:stroke dashstyle="dash"/>
            <v:textbox style="mso-next-textbox:#_x0000_s1033">
              <w:txbxContent>
                <w:p w:rsidR="007F6CE1" w:rsidRDefault="007F6CE1">
                  <w:pPr>
                    <w:jc w:val="center"/>
                    <w:rPr>
                      <w:rFonts w:ascii="宋体"/>
                    </w:rPr>
                  </w:pPr>
                </w:p>
                <w:p w:rsidR="007F6CE1" w:rsidRDefault="007F6CE1">
                  <w:pPr>
                    <w:jc w:val="center"/>
                    <w:rPr>
                      <w:rFonts w:ascii="宋体" w:hAnsi="宋体"/>
                      <w:sz w:val="28"/>
                      <w:szCs w:val="28"/>
                    </w:rPr>
                  </w:pPr>
                  <w:r>
                    <w:rPr>
                      <w:rFonts w:ascii="宋体" w:hAnsi="宋体" w:hint="eastAsia"/>
                      <w:sz w:val="28"/>
                      <w:szCs w:val="28"/>
                    </w:rPr>
                    <w:t>授权代表身份证复印件</w:t>
                  </w:r>
                </w:p>
                <w:p w:rsidR="007F6CE1" w:rsidRDefault="007F6CE1">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附件1</w:t>
      </w:r>
      <w:r w:rsidR="00B913E0">
        <w:rPr>
          <w:rFonts w:ascii="宋体" w:hAnsi="宋体" w:hint="eastAsia"/>
          <w:sz w:val="28"/>
          <w:szCs w:val="28"/>
        </w:rPr>
        <w:t>0</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合同保密相关事项，作出承诺如下：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违反上述承诺，我方愿意承担一切法律责任，赔偿因违反承诺造成的损失，接受军方按照国家和军队有关规定作出的处罚。参与本项目及其合同订立履行的我方所属员工发生失密泄密的，由我方承担连带责任。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E18" w:rsidRDefault="00A20E18" w:rsidP="005839A1">
      <w:r>
        <w:separator/>
      </w:r>
    </w:p>
  </w:endnote>
  <w:endnote w:type="continuationSeparator" w:id="0">
    <w:p w:rsidR="00A20E18" w:rsidRDefault="00A20E18" w:rsidP="0058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E1" w:rsidRDefault="00A177CD">
    <w:pPr>
      <w:pStyle w:val="a5"/>
      <w:jc w:val="center"/>
    </w:pPr>
    <w:r>
      <w:fldChar w:fldCharType="begin"/>
    </w:r>
    <w:r w:rsidR="007F6CE1">
      <w:instrText>PAGE   \* MERGEFORMAT</w:instrText>
    </w:r>
    <w:r>
      <w:fldChar w:fldCharType="separate"/>
    </w:r>
    <w:r w:rsidR="0094396D" w:rsidRPr="0094396D">
      <w:rPr>
        <w:noProof/>
        <w:lang w:val="zh-CN"/>
      </w:rPr>
      <w:t>2</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E18" w:rsidRDefault="00A20E18" w:rsidP="005839A1">
      <w:r>
        <w:separator/>
      </w:r>
    </w:p>
  </w:footnote>
  <w:footnote w:type="continuationSeparator" w:id="0">
    <w:p w:rsidR="00A20E18" w:rsidRDefault="00A20E18" w:rsidP="00583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E1" w:rsidRDefault="007F6CE1">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4">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0">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2">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3">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1"/>
  </w:num>
  <w:num w:numId="2">
    <w:abstractNumId w:val="6"/>
  </w:num>
  <w:num w:numId="3">
    <w:abstractNumId w:val="4"/>
  </w:num>
  <w:num w:numId="4">
    <w:abstractNumId w:val="2"/>
  </w:num>
  <w:num w:numId="5">
    <w:abstractNumId w:val="1"/>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5024"/>
    <w:rsid w:val="000070E5"/>
    <w:rsid w:val="00010E09"/>
    <w:rsid w:val="00011D88"/>
    <w:rsid w:val="000131CC"/>
    <w:rsid w:val="00024590"/>
    <w:rsid w:val="00066DF2"/>
    <w:rsid w:val="000902F7"/>
    <w:rsid w:val="000C691D"/>
    <w:rsid w:val="000C6A06"/>
    <w:rsid w:val="000D1890"/>
    <w:rsid w:val="001055E9"/>
    <w:rsid w:val="001077A0"/>
    <w:rsid w:val="00164520"/>
    <w:rsid w:val="00176E43"/>
    <w:rsid w:val="001D7A9C"/>
    <w:rsid w:val="001F2DD8"/>
    <w:rsid w:val="001F3400"/>
    <w:rsid w:val="001F62AD"/>
    <w:rsid w:val="00215903"/>
    <w:rsid w:val="002560D5"/>
    <w:rsid w:val="0027023A"/>
    <w:rsid w:val="00285751"/>
    <w:rsid w:val="0029310E"/>
    <w:rsid w:val="002A3768"/>
    <w:rsid w:val="002B0AE6"/>
    <w:rsid w:val="002B261E"/>
    <w:rsid w:val="002B4AD3"/>
    <w:rsid w:val="002B6B21"/>
    <w:rsid w:val="002D6C3B"/>
    <w:rsid w:val="002F1529"/>
    <w:rsid w:val="00357932"/>
    <w:rsid w:val="003603EF"/>
    <w:rsid w:val="00374CF3"/>
    <w:rsid w:val="00380DA6"/>
    <w:rsid w:val="00392E26"/>
    <w:rsid w:val="00397082"/>
    <w:rsid w:val="003A0E99"/>
    <w:rsid w:val="003B0C70"/>
    <w:rsid w:val="003D07E0"/>
    <w:rsid w:val="003D5676"/>
    <w:rsid w:val="003F58E4"/>
    <w:rsid w:val="00420FB1"/>
    <w:rsid w:val="00444848"/>
    <w:rsid w:val="00445A0D"/>
    <w:rsid w:val="0046004C"/>
    <w:rsid w:val="004641B8"/>
    <w:rsid w:val="00472475"/>
    <w:rsid w:val="00473128"/>
    <w:rsid w:val="00485024"/>
    <w:rsid w:val="00495FAB"/>
    <w:rsid w:val="004A13D5"/>
    <w:rsid w:val="004A5A2A"/>
    <w:rsid w:val="004B3BA0"/>
    <w:rsid w:val="00536407"/>
    <w:rsid w:val="00575179"/>
    <w:rsid w:val="00582475"/>
    <w:rsid w:val="005839A1"/>
    <w:rsid w:val="005867C1"/>
    <w:rsid w:val="005B51E3"/>
    <w:rsid w:val="00616940"/>
    <w:rsid w:val="0063758D"/>
    <w:rsid w:val="00637772"/>
    <w:rsid w:val="00644EE7"/>
    <w:rsid w:val="0067703E"/>
    <w:rsid w:val="006845BF"/>
    <w:rsid w:val="006853FB"/>
    <w:rsid w:val="00695CC5"/>
    <w:rsid w:val="006B1641"/>
    <w:rsid w:val="006D3522"/>
    <w:rsid w:val="006E73CC"/>
    <w:rsid w:val="006E76DA"/>
    <w:rsid w:val="006F1DB6"/>
    <w:rsid w:val="0070536D"/>
    <w:rsid w:val="0075119F"/>
    <w:rsid w:val="007B26F2"/>
    <w:rsid w:val="007B51F5"/>
    <w:rsid w:val="007C0564"/>
    <w:rsid w:val="007F6CE1"/>
    <w:rsid w:val="008746F9"/>
    <w:rsid w:val="00875029"/>
    <w:rsid w:val="00881388"/>
    <w:rsid w:val="008B4CC2"/>
    <w:rsid w:val="008F63EB"/>
    <w:rsid w:val="009030E2"/>
    <w:rsid w:val="0094396D"/>
    <w:rsid w:val="00961576"/>
    <w:rsid w:val="00976EA3"/>
    <w:rsid w:val="009B0EA2"/>
    <w:rsid w:val="009C0CE9"/>
    <w:rsid w:val="009C387E"/>
    <w:rsid w:val="009D6953"/>
    <w:rsid w:val="00A177CD"/>
    <w:rsid w:val="00A20E18"/>
    <w:rsid w:val="00A40509"/>
    <w:rsid w:val="00A46ED7"/>
    <w:rsid w:val="00A51064"/>
    <w:rsid w:val="00A62944"/>
    <w:rsid w:val="00A73041"/>
    <w:rsid w:val="00A77AAC"/>
    <w:rsid w:val="00A81D64"/>
    <w:rsid w:val="00A83340"/>
    <w:rsid w:val="00A94346"/>
    <w:rsid w:val="00A978D1"/>
    <w:rsid w:val="00AA1A69"/>
    <w:rsid w:val="00B20977"/>
    <w:rsid w:val="00B40811"/>
    <w:rsid w:val="00B6271B"/>
    <w:rsid w:val="00B913E0"/>
    <w:rsid w:val="00B974B0"/>
    <w:rsid w:val="00BA5ECF"/>
    <w:rsid w:val="00BA699B"/>
    <w:rsid w:val="00BD2A06"/>
    <w:rsid w:val="00C15626"/>
    <w:rsid w:val="00C200C5"/>
    <w:rsid w:val="00C2533D"/>
    <w:rsid w:val="00C40BCE"/>
    <w:rsid w:val="00C42D68"/>
    <w:rsid w:val="00C433D8"/>
    <w:rsid w:val="00C625E5"/>
    <w:rsid w:val="00C77DD1"/>
    <w:rsid w:val="00C81C01"/>
    <w:rsid w:val="00C8662D"/>
    <w:rsid w:val="00C86D34"/>
    <w:rsid w:val="00CB1A1C"/>
    <w:rsid w:val="00CC01AE"/>
    <w:rsid w:val="00CC5F69"/>
    <w:rsid w:val="00CD2C3B"/>
    <w:rsid w:val="00CD6A7C"/>
    <w:rsid w:val="00CF3CC4"/>
    <w:rsid w:val="00D05E41"/>
    <w:rsid w:val="00D15856"/>
    <w:rsid w:val="00D35CB5"/>
    <w:rsid w:val="00D43D1F"/>
    <w:rsid w:val="00D633CB"/>
    <w:rsid w:val="00D87212"/>
    <w:rsid w:val="00DA1713"/>
    <w:rsid w:val="00DA75F8"/>
    <w:rsid w:val="00DB7B11"/>
    <w:rsid w:val="00E03D22"/>
    <w:rsid w:val="00E100D1"/>
    <w:rsid w:val="00E272CF"/>
    <w:rsid w:val="00E546CD"/>
    <w:rsid w:val="00E70F85"/>
    <w:rsid w:val="00E8454F"/>
    <w:rsid w:val="00E961EC"/>
    <w:rsid w:val="00EB7BFE"/>
    <w:rsid w:val="00EC053A"/>
    <w:rsid w:val="00EC2D07"/>
    <w:rsid w:val="00EC3170"/>
    <w:rsid w:val="00EC5A67"/>
    <w:rsid w:val="00ED0E3D"/>
    <w:rsid w:val="00ED56AD"/>
    <w:rsid w:val="00EE43E1"/>
    <w:rsid w:val="00EF499C"/>
    <w:rsid w:val="00EF5A74"/>
    <w:rsid w:val="00F0508E"/>
    <w:rsid w:val="00F32E32"/>
    <w:rsid w:val="00F50E1C"/>
    <w:rsid w:val="00F630DF"/>
    <w:rsid w:val="00FF5C06"/>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32B598F-85DF-49D9-9B75-CDE896F2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table" w:styleId="a9">
    <w:name w:val="Table Grid"/>
    <w:basedOn w:val="a1"/>
    <w:qFormat/>
    <w:rsid w:val="004448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F9627F-F3D3-46D1-8414-53B30B5C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1160</Words>
  <Characters>6618</Characters>
  <Application>Microsoft Office Word</Application>
  <DocSecurity>0</DocSecurity>
  <Lines>55</Lines>
  <Paragraphs>15</Paragraphs>
  <ScaleCrop>false</ScaleCrop>
  <Company>Microsoft</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帐户</cp:lastModifiedBy>
  <cp:revision>8</cp:revision>
  <cp:lastPrinted>2021-07-12T07:18:00Z</cp:lastPrinted>
  <dcterms:created xsi:type="dcterms:W3CDTF">2024-07-24T06:36:00Z</dcterms:created>
  <dcterms:modified xsi:type="dcterms:W3CDTF">2024-07-24T07:17:00Z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