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eastAsia="zh-CN"/>
        </w:rPr>
      </w:pPr>
      <w:r>
        <w:rPr>
          <w:rFonts w:hint="eastAsia"/>
          <w:b/>
          <w:bCs/>
          <w:sz w:val="44"/>
          <w:szCs w:val="44"/>
          <w:lang w:eastAsia="zh-CN"/>
        </w:rPr>
        <w:t>技术参数需求确认表</w:t>
      </w:r>
      <w:bookmarkStart w:id="0" w:name="_GoBack"/>
      <w:bookmarkEnd w:id="0"/>
    </w:p>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52"/>
        <w:gridCol w:w="1440"/>
        <w:gridCol w:w="5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基本要求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吊塔是医院现代化监护室必不可少的供气医疗设备，主要用于手术室供氧、吸引、压缩空气、氮气等医用气体的终端转接。 它由电机控制设备平台的升降，安全、可靠； 平衡式设计保证设备平台的水平，保证设备的安全； 电机的驱动保证设备快速、有效地运作；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资质认证</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所有吊塔上承载的设备的电源线路及气源管路和塔体之间没有相对移动，所有电源线路及气源管路必须在塔体不能外露，保证吊塔在移动过程中，不会因位置的改变导致线路脱落的意外发生。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桥式吊塔产品符合欧盟认证，并提供产品符合认证及声明（提供证明文件）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桥式吊塔产品符合气电分离要求，确保吊塔使用安全性，（提供省级及以上医疗器械检测所出具的检测报告）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横梁长度2200mm-3100mm可供选择，最终可根据医院实际场地情况确定。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气体终端要求：要求所有气体插座和接头，德国制式。各种气体插座均为不同颜色和不同形状，防止误操作，具有Standby (原位待接通状态)功能。插座插头可保证2万次以上的插拔，可带气维修，维修费用低廉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内置照明灯，位于吊桥横梁中，和吊桥设备一体，节约空间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吊塔设备表面喷塑采用环保抗菌粉末，外观采用平面哑光处理</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，更易清洁（需提供抗菌粉检测省级及以上检测所出具的检测报告）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设备架在横梁上移动距离≥500mm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所有气电端口必须安装于气电箱上，禁止安装于横梁上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3.10</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桥式吊塔气电箱采用上电下气模式，气体终端安装需低于电源插座，同时电源与气源同面同侧排布，一方面确保即使在漏气情况下，氧气比空气重，不会与电源发生反应，另一方面气电同面同侧方便线缆管理。（提供实物或彩页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所有气管为原装进口医用气体管路，气体终端符合ENISO 9170-1标准，医用气体软管符合ENISO 5359标准（提供省级及以上医疗器械检测所出具的检测报告）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吊塔旋转角度≥340度，且具有良好的限位系统。（提供省级及以上医疗器械检测所出具的检测报告）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▲3.13</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吊塔最大工作承重≥360Kg，吊塔最大安全承重应为标称工作承重的四倍。（提供省级及以上检测所出具的检测报告）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▲3.14</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吊桥安装支架设计承载不小于 1000KG 的静止拉力和不小于 15KN·M的扭力，可耐受4倍拉力测试(安装界面-结构层，钢筋混凝土结构，结构强度≥C30且厚度&gt;120mm)。保证吊塔使用过程中不会出现倾斜、偏移与支架变型小于1°的情况。（提供省级及以上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▲3.15</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设备技术和性能参数</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吊塔轴承在动载荷≥35.5KN,下可连续旋转≥10万转，保证吊塔长久平稳运行。轴承硬度&gt;HRC60、（提供省级及以上检测所出具的检测报告）。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▲3.16</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技术标准</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吊塔外壳涂膜附着力参照ISO2409-2013测试方法，附着力达到等级0, 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技术标准</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吊塔外壳在中性盐雾试验中，测试方法参照ISO9277:2017标准，外观评价参照ISO10289-1999,外观评级为10（提供证明文件）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▲3.18</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设备正压气体管道内部直径≥6mm，负压气体管道内部直径≥8mm，（提供省级及以上检测所出具的检测报告）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3.19</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干、湿分区，两区承重负载能力均≥180Kg.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要求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干区气电箱长度≥680MM；湿区气电箱长度≥800MM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桥式吊塔配置要求：(II型)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德式标准气体插座（空气1个，负压吸引1个，氧气2个），含所有插头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电源插座6个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4.1.3</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网络接口1个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4.1.4</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等电位柱2个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4.1.5</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二层设备托盘，其中一层带抽屉，托盘尺寸≥530X340mm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4.1.6</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吊杆两侧必须带有国际标准不锈钢设备边条和国际标准通用制式∮38铝管，可用于连接各种设备（呼吸机、监护仪等）配套连接装置等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4.2.1</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德式标准气体插座（空气1个，负压吸引1个，氧气2个）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4.2.2</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湿区配导轨式伸展臂2个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4.2.3</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高度可调不锈钢输液架2个，输液架最大标称工作称重应不小于30KG。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4.2.4</w:t>
            </w:r>
          </w:p>
        </w:tc>
        <w:tc>
          <w:tcPr>
            <w:tcW w:w="84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配置需求</w:t>
            </w:r>
          </w:p>
        </w:tc>
        <w:tc>
          <w:tcPr>
            <w:tcW w:w="330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电源插座6个</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WY0OTEyZWMxNWM2ZWEzYzIwMzlmYjQ3MDE4MTEifQ=="/>
  </w:docVars>
  <w:rsids>
    <w:rsidRoot w:val="20BC6942"/>
    <w:rsid w:val="20BC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2024-08-08T08:17:00Z</dcterms:created>
  <dc:creator>Administrator</dc:creator>
  <cp:lastModifiedBy>Administrator</cp:lastModifiedBy>
  <dcterms:modified xsi:type="dcterms:W3CDTF">2024-08-08T08:35:23Z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F45C68E1323149EBB9A62BDB77986924_11</vt:lpwstr>
  </property>
</Properties>
</file>