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95" w:type="dxa"/>
        <w:tblLook w:val="04A0"/>
      </w:tblPr>
      <w:tblGrid>
        <w:gridCol w:w="456"/>
        <w:gridCol w:w="2016"/>
        <w:gridCol w:w="580"/>
        <w:gridCol w:w="580"/>
        <w:gridCol w:w="11640"/>
      </w:tblGrid>
      <w:tr w:rsidR="00F8735A" w:rsidRPr="00F8735A" w:rsidTr="00F8735A">
        <w:trPr>
          <w:trHeight w:val="480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8735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35A" w:rsidRPr="00F8735A" w:rsidRDefault="00F8735A" w:rsidP="00F873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35A" w:rsidRPr="00F8735A" w:rsidRDefault="00F8735A" w:rsidP="00F873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35A" w:rsidRPr="00F8735A" w:rsidRDefault="00F8735A" w:rsidP="00F873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735A" w:rsidRPr="00F8735A" w:rsidTr="00F8735A">
        <w:trPr>
          <w:trHeight w:val="800"/>
        </w:trPr>
        <w:tc>
          <w:tcPr>
            <w:tcW w:w="1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52"/>
                <w:szCs w:val="52"/>
              </w:rPr>
            </w:pPr>
            <w:r w:rsidRPr="00F8735A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52"/>
                <w:szCs w:val="52"/>
              </w:rPr>
              <w:t>PCR实验室配套设备技术参数表</w:t>
            </w:r>
          </w:p>
        </w:tc>
      </w:tr>
      <w:tr w:rsidR="00F8735A" w:rsidRPr="00F8735A" w:rsidTr="00F8735A">
        <w:trPr>
          <w:trHeight w:val="5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技术参数需求</w:t>
            </w:r>
          </w:p>
        </w:tc>
      </w:tr>
      <w:tr w:rsidR="00F8735A" w:rsidRPr="00F8735A" w:rsidTr="00F8735A">
        <w:trPr>
          <w:trHeight w:val="21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紫外线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消毒车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1、输入功率：132VA；2、电源电压：220V50Hz；3、定时范围：0-60分钟；4、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灯臂调节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角度：0-135度；5、紫外线灯管辐射强度（30W）额定值：107uW/cm2；初始值不低于100uW/cm2；6、灯管：双端无臭氧紫外线杀菌灯（ZW30S19W）2支；7、紫外线波长：253.7nm；8、熔断器型号：Φ5×20F2AL250V；9、分类：I类，连续运行设备，不能在有易燃易爆麻醉气体和空气的混合或氧化亚氮的混合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气情况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下使用的设备；10、本产品采用双灯管结构，也可以单独使用，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灯臂角度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可调节；11、定时器能在0—60分钟内任意调节消毒时间，定时器工作完毕，发出“叮当”声音；12、紫外线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消毒车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的型式为手推移动式；★13、保修≥3年</w:t>
            </w:r>
          </w:p>
        </w:tc>
      </w:tr>
      <w:tr w:rsidR="00F8735A" w:rsidRPr="00F8735A" w:rsidTr="00F8735A">
        <w:trPr>
          <w:trHeight w:val="164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漩涡混合仪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★1、转速：≥2800转/分；★2、具备连续、点触、调速三种工作方式；3、具备碗型、平板型两种工作台模式，两种模式可以调换；4、具备振动与旋涡混合方式：可调速控制，能从低速振动到高速旋涡混合；5、具备多元功能：碗型振动台与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平扳型振动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的双重提供，可适应不同试管及容器的手动或自动的两种混合方式；6、具备自动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与点振混合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方式：三点开关可选择自动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或点振混合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方式；★7、保修≥3年</w:t>
            </w:r>
          </w:p>
        </w:tc>
      </w:tr>
      <w:tr w:rsidR="00F8735A" w:rsidRPr="00F8735A" w:rsidTr="00F8735A">
        <w:trPr>
          <w:trHeight w:val="33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医用冰箱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1、有效容积：有效容积≥280L；2、整体结构：立式，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上下双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泡门，采用有效防菌防腐蚀外壳；冷藏室容积≥185L，冷冻室容积≥95L；★3、温度控制:微电脑控制,大屏幕LED显示冷藏、冷冻室温度，冷藏温度范围2～8℃，冷冻温度-10~-30℃温度可自行调节；★4、核心组件：采用品牌压缩机、风机，碳氢制冷剂，节能环保；5、资质认证：产品通过ISO9001、ISO13485认证，产品具有医疗器械注册证,；6、门体结构：发泡门设计，满足避光保存要求，保温性能优；7、制冷系统：冷藏、冷冻独立制冷系统，可单独停用；★8、温度均匀性：采用高性能保温材料，保温效果好，风冷系统，保证冷藏室温度均匀性≤2℃，波动性≤2℃，冷冻室温度均匀性≤2℃；9、安全系统：多重故障报警，具有蜂鸣报警和灯光闪烁两种报警方式，可实现超温报警、传感故障报警、断电报警、开门报警、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环温高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警、电池电量低报警，可远程报警、选配网络监控；10、箱内配置：冷藏室冷冻室内搁架间距可调节，满足不同物品放置位置易于清擦；11、安全保障：双门双锁扣设计，每个锁扣均可外挂锁，满足安全要求；12、停电报警：产品断电后继续显示箱内的实时温度，持续时间至少24小时；★13、保修≥3年</w:t>
            </w:r>
          </w:p>
        </w:tc>
      </w:tr>
      <w:tr w:rsidR="00F8735A" w:rsidRPr="00F8735A" w:rsidTr="00F8735A">
        <w:trPr>
          <w:trHeight w:val="166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加样枪(10/20/200/1000微升)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1、气体活塞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式移液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器,可用于水性溶液的准确移液；2、采用超轻机械设计，可减少手部和臂部的用力；★3、要求采用弹性吸嘴，可大幅减轻吸头装配用力，有助于降低劳损；4、对各种难处理的液体（比如乙醇）进行移液，或在高海拔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地区移液时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，可在数秒内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调节移液器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。无需校准即可恢复出厂设置；5、可根据要求对整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支移液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器或仅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对移液器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下半部分进行高温高压灭菌，确保消除污染；★6、量程及数量要求：（0.5-10ul）（2-20ul）（20-200ul）（100-1000ul）（各1支）；★7、保修≥1年</w:t>
            </w:r>
          </w:p>
        </w:tc>
      </w:tr>
      <w:tr w:rsidR="00F8735A" w:rsidRPr="00F8735A" w:rsidTr="00F8735A">
        <w:trPr>
          <w:trHeight w:val="12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单管掌上离心机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★1、转速≥6000rpm；★2、大半径8孔位转子，同等转速下离心力比普通转子提高1.5倍左右；3、开盖便捷，方便单手操作；4、转子卡扣设计，方便转子更换和取放；5、配置LED显示屏，显示转速和设定时间；6、噪声≤45db，运行平稳，采用免维护电机经久耐用；★7、保修≥3年</w:t>
            </w:r>
          </w:p>
        </w:tc>
      </w:tr>
      <w:tr w:rsidR="00F8735A" w:rsidRPr="00F8735A" w:rsidTr="00F8735A">
        <w:trPr>
          <w:trHeight w:val="11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8连管离心机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★1、转速≥10000rpm；2、开盖方便，方便单手操作；3、转子方便更换和取放；4、配置LED显示屏，显示转速和设定时间；★5、噪声≤55db，运行平稳，电机经久耐用；★6、保修≥3年</w:t>
            </w:r>
          </w:p>
        </w:tc>
      </w:tr>
      <w:tr w:rsidR="00F8735A" w:rsidRPr="00F8735A" w:rsidTr="00F8735A">
        <w:trPr>
          <w:trHeight w:val="166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八连排枪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1、气体活塞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式移液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器,可用于水性溶液的准确移液；2、采用超轻机械设计，可减少手部和臂部的用力；★3、要求采用弹性吸嘴，可大幅减轻吸头装配用力，有助于降低劳损；4、对各种难处理的液体（比如乙醇）进行移液，或在高海拔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地区移液时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，可在数秒内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调节移液器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。无需校准即可恢复出厂设置；5、可根据要求对整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支移液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器或仅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对移液器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下半部分进行高温高压灭菌，确保消除污染；★6、量程及数量要求：（0.5-10ul）（3支）；（10-100ul）（3支）；★7、保修≥1年</w:t>
            </w:r>
          </w:p>
        </w:tc>
      </w:tr>
      <w:tr w:rsidR="00F8735A" w:rsidRPr="00F8735A" w:rsidTr="00F8735A">
        <w:trPr>
          <w:trHeight w:val="172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常规离心机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★1、转速300-4500rpm可调，最高相对离心力≥2400xg，转速和时间高精度控制；2、LED大屏幕显示转速和时间，方便设定和读取数据；★3、具有瞬时运行模式、30秒~59秒定时模式和连续运行三种操作模式，提高效率；4、采用高性能CPU控制模式，转速精度高，性能出色；5、双层安全防护外壳，电子锁设计，锁定更安全；★6、强力直流无刷电机，免维护，驱动迅速；7、达到设定转速后才开始计时，离心时间更准确，合理的刹车曲线，保证样品没有混淆，分离效果更好；★8、保修≥3年</w:t>
            </w:r>
          </w:p>
        </w:tc>
      </w:tr>
      <w:tr w:rsidR="00F8735A" w:rsidRPr="00F8735A" w:rsidTr="00F8735A">
        <w:trPr>
          <w:trHeight w:val="13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干式恒温器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控温范围：室温±5℃-100℃；★2、升温速度：≤15min（20℃-100℃）；3、内置温度偏差校准功能，自动故障检测及蜂鸣器报警功能；★4、多种模块选择，更换，便于清洁与消毒，适用多种试管；5、具有断电恢复功能，断电恢复后仪器可按原设定程序自动恢复运行；6、具有五段可编程功能，也可设定为不定时连续运转；★7、保修≥3年</w:t>
            </w:r>
          </w:p>
        </w:tc>
      </w:tr>
      <w:tr w:rsidR="00F8735A" w:rsidRPr="00F8735A" w:rsidTr="00F8735A">
        <w:trPr>
          <w:trHeight w:val="28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孔版冷冻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高速离心机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1、最高转速≥18000rpm，最大相对离心力≥29756xg，最大容量≥4x400ml；2、多种转头可供选择，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包括定角转头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水平转头及酶标板转头，可以使用250ul至400ml离心管（包括50ml及15ml锥形管）；3、驱动系统采用无碳刷变频驱动；4、环保制冷系统，采用无氟制冷剂；★5、温度设置范围要求在-20℃至40℃之间，1℃步进；★6、具有温度控制性能，常温降温至4℃，≤10分钟；★7、加速和减速选择：具备≥10挡加速和10挡减速；8、显示功能：数字显示；实时RPM/RCF互换读数显示；9、时间设定范围：0至9小时59分钟，具有连续时间运行选择；10、具备转头不平衡检测；超速保护；自动安全门锁等安全功能；★11、配置要求；11.1主机；11.2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定角转子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最高转速≥10000rpm，最大相对离心力≥10000xg，最大容量≥6x50ml；11.3水平转子：最高转速≥4500rpm，最大相对离心力≥3900xg，最大容量≥4x250ml；11.4酶标板转子：最高转速≥4700rpm，最大相对离心力≥2720xg，最大容量≥2x3酶标板；★12、保修≥3年</w:t>
            </w:r>
          </w:p>
        </w:tc>
      </w:tr>
      <w:tr w:rsidR="00F8735A" w:rsidRPr="00F8735A" w:rsidTr="00F8735A">
        <w:trPr>
          <w:trHeight w:val="21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EP管冷冻高速离心机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★1、最大相对离心力≥21,000xg（≥15,000rpm）；★2、最大转子容量24x1.5/2.0ml离心管，96x0.2mlPCR管，32x0.2mlPCR管；3、噪音水平：&lt;54dB(A)；4、从零加速至最高转速的时间：≤15秒，从最高转速降速至零的时间：≤15秒；5、离心计时：10秒~9小时59分钟，可连续离心；6、离心机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盖设计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确保静音操作；★7、具有气密性转子盖，可高温高压灭菌；★8、温控范围：-10°C至40°C，最高转速也可保持4°C；9、快速预冷功能，从室温（21°C）降至4°C≤8分钟；10、高效压缩机控制，具有自动待机功能；11、冷凝水槽防止离心机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腔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体内冷凝水积聚，防止腐蚀；12、不使用离心功能且离心机盖关闭时，可以进行持续制冷,确保温度恒定；13、防生物污染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转头且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通过第三方论证；★14、保修≥3年</w:t>
            </w:r>
          </w:p>
        </w:tc>
      </w:tr>
      <w:tr w:rsidR="00F8735A" w:rsidRPr="00F8735A" w:rsidTr="00F8735A">
        <w:trPr>
          <w:trHeight w:val="32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双人生物安全柜（II级A2）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具有III类医疗器械注册证；工作区尺寸：长、宽、高≥1800mm×550mm×650mm；外形尺寸：长、宽、高≤2000mm×850mm×1400mm；3、气流模式：达到30%外排，70%循环要求；4、下降、流入气流速：下降气流平均流速&gt;0.35m/s；进气流平均流速&gt;0.50m/s；★5、风速实时显示：使用温度补偿型风速传感器，实时数字式监控和显示下降气流和流入气流速度；★6、过滤效果和洁净等级：对0.12μm颗粒系过滤效率大于99.999%，ISO14644.1标准Class3洁净等级；★7、风机系统：具有阻力感应补偿功能，过滤器堵塞压力增加300%情况下仍提供安全风速；8、控制器系统：实时显示安全柜运行参数：安全柜的进气流，沉降气流在液晶显示屏上实时显示；显示滤器寿命，温度，紫外灯寿命，前窗高度状态提示；当气流有波动时提供声光报警；9、操作台面：一体成型不锈钢浅盘式设计；移动式操作台面可以提升或取出；10、操作前窗：无边框滑动式前窗，防爆、抗紫外线、双层覆膜；11、柜体涂层：抑制细菌、微生物在柜体表面滋生；12、噪音：噪音＜65dBA；13、电源插座：两个电源插座预留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孔分别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位于操作室两侧；★14、保修≥3年</w:t>
            </w:r>
          </w:p>
        </w:tc>
      </w:tr>
      <w:tr w:rsidR="00F8735A" w:rsidRPr="00F8735A" w:rsidTr="00F8735A">
        <w:trPr>
          <w:trHeight w:val="9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自动旋盖机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1、设备外形小巧，可置于生物安全柜内使用；2、感应器可自动感应样本采集管，无需按钮操作；★3、开关盖小于3秒；★4、兼容市面上99%以上的样本采集管；5、液晶显示屏显示工作状态；★6、保修≥3年</w:t>
            </w:r>
          </w:p>
        </w:tc>
      </w:tr>
      <w:tr w:rsidR="00F8735A" w:rsidRPr="00F8735A" w:rsidTr="00F8735A">
        <w:trPr>
          <w:trHeight w:val="22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高压灭菌器(50-80L)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操作台采用LCD液晶窗图文显示自动控制循环程序，灭菌结束（报警）后自动停机，灭菌过程具有动态指示，便于观察灭菌状态；2、设定温度时间采用一键式操作方式，可根据不同的灭菌物品快速明了的进行所需选择；3、具有风冷式快速冷却装置，确保灭菌结束时对锅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体快速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降温，缩短开启锅盖时间；4、全自动控制，故障自动检测判断系统；5、具有自动排放冷空气及灭菌结束自动排气功能，全程无蒸汽外排现象（内置蒸汽集汽水箱）。安全联锁装置，确保有压力时自动锁盖，具有机械式安全泄压阀和</w:t>
            </w:r>
            <w:proofErr w:type="gramStart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电控式过压</w:t>
            </w:r>
            <w:proofErr w:type="gramEnd"/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护装置的双套保护系统，具有断水保护防干烧和漏电保护系统；★6、灭菌温度可选设定范围50℃-134℃，灭菌时间可调设定范围0-99h；★7、容积：≥80升；★8、具有国家规定的特种设备压力容器证书和医疗器械证书；★9、保修≥3年</w:t>
            </w:r>
          </w:p>
        </w:tc>
      </w:tr>
      <w:tr w:rsidR="00F8735A" w:rsidRPr="00F8735A" w:rsidTr="00F8735A">
        <w:trPr>
          <w:trHeight w:val="42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实验室温湿度数字化管理系统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735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5A" w:rsidRPr="00F8735A" w:rsidRDefault="00F8735A" w:rsidP="00F8735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7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★1、监测点数量≥125个（温度100个，环境温湿度25个），可对冰箱、培养箱、孵箱、冷库温度及实验室环境温度、湿度进行监测；★2、信息采集盒：可连接200个以上监测点，具有断电短信报警功能；﹟3、短信报警发射器：温度异常超过设置短信通知，报警号码可分组设置，具备分时报警功能，系统正常运行短信告知功能；★4、温度数字化温度管理系统软件：可终身免费升级，支持200个以上监控点的数据采集，提供报表、曲线汇总查询，提供LIMS数据接口，可通过声音、图像等方式进行报警提示；5、必要的网线及其他辅助性材料；6、使用范围：用于实验室环境温湿度、设备温度自动管理，监测温度范围-100℃~200℃；﹟7、系统准确性：温度≤±0.5℃，湿度≤±1%★8、系统每年通过国家计量单位测试，每年提供具有国家计量单位资质的溯源计量报告；9、显示方式：动态数码温度显示界面，显示位置可以自定义；11、可根据用户要求自定义温度数据的报表、曲线格式；﹟12、提供终身维修；质保期内所有服务及配件全部免费；质保期满前1个月，免费对设备进行全面的检测、保养和维护，并提出相应的使用建议，确保仪器在质保期外能更好地运行；质保期后，如设备发生故障，提供免费维修服务，只收取零配件费用；13、保证提供7天24小时维修和技术支持，响应时间≤24小时，重大问题或其他无法迅速解决的问题在1周内解决或提出明确解决方案；14、保证温湿度监测系统数据完整性，测点终端必须具备自带存储记录功能（存储数据不少于1000条），并能自动续传；★15.保修≥3年</w:t>
            </w:r>
          </w:p>
        </w:tc>
      </w:tr>
    </w:tbl>
    <w:p w:rsidR="0033060B" w:rsidRPr="00F8735A" w:rsidRDefault="0033060B"/>
    <w:sectPr w:rsidR="0033060B" w:rsidRPr="00F8735A" w:rsidSect="00F8735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93" w:rsidRDefault="00D57093" w:rsidP="00F8735A">
      <w:r>
        <w:separator/>
      </w:r>
    </w:p>
  </w:endnote>
  <w:endnote w:type="continuationSeparator" w:id="0">
    <w:p w:rsidR="00D57093" w:rsidRDefault="00D57093" w:rsidP="00F87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93" w:rsidRDefault="00D57093" w:rsidP="00F8735A">
      <w:r>
        <w:separator/>
      </w:r>
    </w:p>
  </w:footnote>
  <w:footnote w:type="continuationSeparator" w:id="0">
    <w:p w:rsidR="00D57093" w:rsidRDefault="00D57093" w:rsidP="00F87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35A"/>
    <w:rsid w:val="0033060B"/>
    <w:rsid w:val="00D57093"/>
    <w:rsid w:val="00F8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3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3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50704-4690-48FA-BAC0-092AC496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2022-05-11T09:22:00Z</dcterms:created>
  <dcterms:modified xsi:type="dcterms:W3CDTF">2022-05-11T09:23:00Z</dcterms:modified>
</cp:coreProperties>
</file>