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1" w:tblpY="199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159"/>
        <w:gridCol w:w="1196"/>
        <w:gridCol w:w="15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序号</w:t>
            </w: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项目名称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>数量</w:t>
            </w:r>
          </w:p>
        </w:tc>
        <w:tc>
          <w:tcPr>
            <w:tcW w:w="1582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color w:val="000000"/>
                <w:sz w:val="15"/>
                <w:szCs w:val="15"/>
              </w:rPr>
              <w:t xml:space="preserve">技术需求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6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1</w:t>
            </w:r>
          </w:p>
        </w:tc>
        <w:tc>
          <w:tcPr>
            <w:tcW w:w="21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运输型液氮罐</w:t>
            </w:r>
          </w:p>
        </w:tc>
        <w:tc>
          <w:tcPr>
            <w:tcW w:w="1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1</w:t>
            </w:r>
          </w:p>
        </w:tc>
        <w:tc>
          <w:tcPr>
            <w:tcW w:w="158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功能：用于日常液氮转运和短途运输，为样本保存提供充足液氮，以保障患者胚胎和配子样本的安全贮存。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技术指标及配置：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1.辅助生殖市场主流品牌。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 xml:space="preserve">2.液氮容积35L，运输型液氮罐； 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3.采用高强度铝合金制造；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4.高真空多层绝热设计；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5.配有保护套，可防止罐体在运输过程中的挤压变形、磨损；在容器底部或者侧面增加特殊的支撑结构设计，具有耐倾倒、适宜长途运输、使用可靠的优点。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6.配置底部滑轮，便于移动；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  <w:r>
              <w:rPr>
                <w:rFonts w:hint="eastAsia" w:ascii="宋体" w:hAnsi="宋体"/>
                <w:color w:val="000000"/>
                <w:sz w:val="16"/>
                <w:szCs w:val="15"/>
              </w:rPr>
              <w:t>7.配置脚踏式加压式液氮泵，便于安全输出液氮。</w:t>
            </w:r>
          </w:p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16"/>
                <w:szCs w:val="15"/>
              </w:rPr>
            </w:pPr>
          </w:p>
        </w:tc>
      </w:tr>
    </w:tbl>
    <w:p>
      <w:bookmarkStart w:id="0" w:name="_GoBack"/>
      <w:bookmarkEnd w:id="0"/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jhlNWE4MWU3ZDVmYzFkMjJhYTNhZTQwMmJmOGIifQ=="/>
  </w:docVars>
  <w:rsids>
    <w:rsidRoot w:val="00172A27"/>
    <w:rsid w:val="2CC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2022-06-24T01:29:05Z</dcterms:created>
  <dc:creator>Administrator</dc:creator>
  <cp:lastModifiedBy>Administrator</cp:lastModifiedBy>
  <dcterms:modified xsi:type="dcterms:W3CDTF">2022-06-24T01:29:43Z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AD460496CDC849A689BA3FB09676ECF4</vt:lpwstr>
  </property>
</Properties>
</file>